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CC00" w14:textId="05D51E4F" w:rsidR="004768CC" w:rsidRPr="00995E13" w:rsidRDefault="4900FAEB" w:rsidP="4900FAEB">
      <w:pPr>
        <w:pStyle w:val="NCCAH1"/>
        <w:spacing w:line="240" w:lineRule="auto"/>
        <w:rPr>
          <w:rFonts w:asciiTheme="minorHAnsi" w:hAnsiTheme="minorHAnsi"/>
          <w:b/>
          <w:bCs/>
          <w:i/>
          <w:iCs/>
          <w:color w:val="222222"/>
          <w:sz w:val="44"/>
          <w:szCs w:val="44"/>
        </w:rPr>
      </w:pPr>
      <w:bookmarkStart w:id="0" w:name="_GoBack"/>
      <w:bookmarkEnd w:id="0"/>
      <w:r w:rsidRPr="4900FAEB">
        <w:rPr>
          <w:b/>
          <w:bCs/>
          <w:sz w:val="44"/>
          <w:szCs w:val="44"/>
        </w:rPr>
        <w:t xml:space="preserve">Athbhreithniú ar Oideachas Caidrimh agus Gnéasachta (OCG) </w:t>
      </w:r>
    </w:p>
    <w:p w14:paraId="5836543F" w14:textId="0A522529" w:rsidR="003E66B4" w:rsidRPr="00D11720" w:rsidRDefault="003E66B4" w:rsidP="003E66B4">
      <w:pPr>
        <w:pStyle w:val="NCCABody"/>
        <w:spacing w:line="240" w:lineRule="auto"/>
      </w:pPr>
      <w:r w:rsidRPr="00D11720">
        <w:t>Ar iarraidh an Aire Oideachais agus Scileanna, tugadh faoi athbhreithniú mór ar an Oideachas Caidrimh agus Gnéasachta (OCG) i mbunscoileanna agus in iar-bhunscoileanna ó Mheitheamh 2018 go Márta 2019. Scrúdaíodh leis an athbhreithniú eispéireas na múinteoireachta agus na foghlama san OCG lena n-áirítear; an curaclam, an cur chuige i leith na foghlama, na tacaí atá riachtanach, agus bealaí chun eispéireas an OCG do dhaltaí a fheabhsú.</w:t>
      </w:r>
      <w:r w:rsidRPr="00D11720">
        <w:rPr>
          <w:lang w:val="en-GB"/>
        </w:rPr>
        <w:t xml:space="preserve"> </w:t>
      </w:r>
    </w:p>
    <w:p w14:paraId="1061B64D" w14:textId="38466904" w:rsidR="00D11720" w:rsidRDefault="3040766F" w:rsidP="003E66B4">
      <w:pPr>
        <w:pStyle w:val="NCCABody"/>
        <w:spacing w:line="240" w:lineRule="auto"/>
      </w:pPr>
      <w:r>
        <w:t xml:space="preserve">Mar gheall ar líon na ndaoine a ghlac páirt ann, táimid ag dul i </w:t>
      </w:r>
      <w:r w:rsidRPr="3040766F">
        <w:rPr>
          <w:rFonts w:eastAsia="Calibri" w:cs="Calibri"/>
          <w:lang w:val="en-US"/>
        </w:rPr>
        <w:t>gcomhairle</w:t>
      </w:r>
      <w:r>
        <w:t xml:space="preserve"> le daoine anois lena chinntiú go léiríonn ár dtorthaí agus an dréacht-chomhairle ghaolmhar riachtanais daltaí, scoileanna agus tuismitheoirí. Chuige sin, ba mhaith linn go ndéanfá machnamh ar na torthaí agus an dréacht-chomhairle. Tá se inmholta an dréacht-tuarascáil agus an achoimre ar an dréacht-tuarascáil a leabh ar dtus.</w:t>
      </w:r>
      <w:r w:rsidRPr="3040766F">
        <w:rPr>
          <w:lang w:val="en-GB"/>
        </w:rPr>
        <w:t xml:space="preserve"> </w:t>
      </w:r>
      <w:r>
        <w:t>Tá said le fáil anseo</w:t>
      </w:r>
    </w:p>
    <w:p w14:paraId="1B94E00E" w14:textId="1A596887" w:rsidR="0DDA37F0" w:rsidRPr="00D11720" w:rsidRDefault="001501AD" w:rsidP="00D11720">
      <w:pPr>
        <w:pStyle w:val="NCCABody"/>
        <w:spacing w:line="240" w:lineRule="auto"/>
        <w:rPr>
          <w:lang w:val="en-GB"/>
        </w:rPr>
      </w:pPr>
      <w:hyperlink r:id="rId11" w:history="1">
        <w:r w:rsidR="00D11720" w:rsidRPr="000E6FF9">
          <w:rPr>
            <w:rStyle w:val="Hyperlink"/>
          </w:rPr>
          <w:t>https://www.ncca.ie/ga/an-teolas-is-déanaí-agus-imeachtaí/comhairliúcháin/athbhreithniú-ar-churaclam-an-oideachais-caidrimh-agus-gnéasachta-ocg</w:t>
        </w:r>
      </w:hyperlink>
      <w:r w:rsidR="003E66B4" w:rsidRPr="00D11720">
        <w:rPr>
          <w:lang w:val="en-GB"/>
        </w:rPr>
        <w:t xml:space="preserve"> </w:t>
      </w:r>
    </w:p>
    <w:tbl>
      <w:tblPr>
        <w:tblStyle w:val="TableGrid"/>
        <w:tblW w:w="0" w:type="auto"/>
        <w:tblLook w:val="04A0" w:firstRow="1" w:lastRow="0" w:firstColumn="1" w:lastColumn="0" w:noHBand="0" w:noVBand="1"/>
      </w:tblPr>
      <w:tblGrid>
        <w:gridCol w:w="3823"/>
        <w:gridCol w:w="5193"/>
      </w:tblGrid>
      <w:tr w:rsidR="004768CC" w:rsidRPr="00A60E88" w14:paraId="68906E81" w14:textId="77777777" w:rsidTr="0DDA37F0">
        <w:tc>
          <w:tcPr>
            <w:tcW w:w="3823" w:type="dxa"/>
          </w:tcPr>
          <w:p w14:paraId="7B44D9F6" w14:textId="77777777" w:rsidR="004768CC" w:rsidRPr="00E55681" w:rsidRDefault="004768CC" w:rsidP="004768CC">
            <w:pPr>
              <w:pStyle w:val="NCCABody"/>
              <w:rPr>
                <w:b/>
                <w:szCs w:val="20"/>
                <w:lang w:val="ga-IE"/>
              </w:rPr>
            </w:pPr>
            <w:r w:rsidRPr="00E55681">
              <w:rPr>
                <w:b/>
                <w:bCs/>
                <w:szCs w:val="20"/>
                <w:lang w:val="ga-IE"/>
              </w:rPr>
              <w:t xml:space="preserve">Ainm </w:t>
            </w:r>
          </w:p>
        </w:tc>
        <w:tc>
          <w:tcPr>
            <w:tcW w:w="5193" w:type="dxa"/>
          </w:tcPr>
          <w:p w14:paraId="7450C5E9" w14:textId="77777777" w:rsidR="004768CC" w:rsidRDefault="004768CC" w:rsidP="004768CC">
            <w:pPr>
              <w:pStyle w:val="NCCABody"/>
              <w:rPr>
                <w:sz w:val="24"/>
                <w:lang w:val="ga-IE"/>
              </w:rPr>
            </w:pPr>
          </w:p>
          <w:p w14:paraId="1B6ABAE4" w14:textId="0BC58CD8" w:rsidR="000C63A1" w:rsidRPr="00A60E88" w:rsidRDefault="000C63A1" w:rsidP="0DDA37F0">
            <w:pPr>
              <w:pStyle w:val="NCCABody"/>
              <w:rPr>
                <w:sz w:val="24"/>
                <w:szCs w:val="24"/>
              </w:rPr>
            </w:pPr>
          </w:p>
        </w:tc>
      </w:tr>
      <w:tr w:rsidR="004768CC" w:rsidRPr="00A60E88" w14:paraId="21DED842" w14:textId="77777777" w:rsidTr="0DDA37F0">
        <w:tc>
          <w:tcPr>
            <w:tcW w:w="3823" w:type="dxa"/>
          </w:tcPr>
          <w:p w14:paraId="07EC351E" w14:textId="77777777" w:rsidR="004768CC" w:rsidRPr="00E55681" w:rsidRDefault="004768CC" w:rsidP="004768CC">
            <w:pPr>
              <w:pStyle w:val="NCCABody"/>
              <w:rPr>
                <w:b/>
                <w:szCs w:val="20"/>
                <w:lang w:val="ga-IE"/>
              </w:rPr>
            </w:pPr>
            <w:r w:rsidRPr="00E55681">
              <w:rPr>
                <w:b/>
                <w:bCs/>
                <w:szCs w:val="20"/>
                <w:lang w:val="ga-IE"/>
              </w:rPr>
              <w:t xml:space="preserve">Sloinne </w:t>
            </w:r>
          </w:p>
        </w:tc>
        <w:tc>
          <w:tcPr>
            <w:tcW w:w="5193" w:type="dxa"/>
          </w:tcPr>
          <w:p w14:paraId="0616F33B" w14:textId="397DE05F" w:rsidR="000C63A1" w:rsidRDefault="000C63A1" w:rsidP="004768CC">
            <w:pPr>
              <w:pStyle w:val="NCCABody"/>
              <w:rPr>
                <w:sz w:val="24"/>
                <w:lang w:val="ga-IE"/>
              </w:rPr>
            </w:pPr>
          </w:p>
          <w:p w14:paraId="0BBE62BE" w14:textId="43A5AA38" w:rsidR="004768CC" w:rsidRPr="00A60E88" w:rsidRDefault="004768CC" w:rsidP="0DDA37F0">
            <w:pPr>
              <w:pStyle w:val="NCCABody"/>
              <w:rPr>
                <w:sz w:val="24"/>
                <w:szCs w:val="24"/>
              </w:rPr>
            </w:pPr>
          </w:p>
        </w:tc>
      </w:tr>
      <w:tr w:rsidR="004768CC" w:rsidRPr="00A60E88" w14:paraId="33C15C4F" w14:textId="77777777" w:rsidTr="0DDA37F0">
        <w:tc>
          <w:tcPr>
            <w:tcW w:w="3823" w:type="dxa"/>
          </w:tcPr>
          <w:p w14:paraId="7D1B2F85" w14:textId="77777777" w:rsidR="004768CC" w:rsidRPr="00E55681" w:rsidRDefault="004768CC" w:rsidP="004768CC">
            <w:pPr>
              <w:pStyle w:val="NCCABody"/>
              <w:rPr>
                <w:b/>
                <w:szCs w:val="20"/>
                <w:lang w:val="ga-IE"/>
              </w:rPr>
            </w:pPr>
            <w:r w:rsidRPr="00E55681">
              <w:rPr>
                <w:b/>
                <w:bCs/>
                <w:szCs w:val="20"/>
                <w:lang w:val="ga-IE"/>
              </w:rPr>
              <w:t>Post (más cuí)</w:t>
            </w:r>
          </w:p>
        </w:tc>
        <w:tc>
          <w:tcPr>
            <w:tcW w:w="5193" w:type="dxa"/>
          </w:tcPr>
          <w:p w14:paraId="12FB958F" w14:textId="77777777" w:rsidR="004768CC" w:rsidRPr="00A60E88" w:rsidRDefault="004768CC" w:rsidP="004768CC">
            <w:pPr>
              <w:pStyle w:val="NCCABody"/>
              <w:rPr>
                <w:sz w:val="24"/>
                <w:lang w:val="ga-IE"/>
              </w:rPr>
            </w:pPr>
          </w:p>
          <w:p w14:paraId="16FAEF77" w14:textId="76382499" w:rsidR="000C63A1" w:rsidRPr="00A60E88" w:rsidRDefault="000C63A1" w:rsidP="0DDA37F0">
            <w:pPr>
              <w:pStyle w:val="NCCABody"/>
              <w:rPr>
                <w:sz w:val="24"/>
                <w:szCs w:val="24"/>
              </w:rPr>
            </w:pPr>
          </w:p>
        </w:tc>
      </w:tr>
      <w:tr w:rsidR="004768CC" w:rsidRPr="00A60E88" w14:paraId="152AEFC3" w14:textId="77777777" w:rsidTr="0DDA37F0">
        <w:tc>
          <w:tcPr>
            <w:tcW w:w="3823" w:type="dxa"/>
          </w:tcPr>
          <w:p w14:paraId="1BFEFF65" w14:textId="77777777" w:rsidR="004768CC" w:rsidRPr="00E55681" w:rsidRDefault="004768CC" w:rsidP="004768CC">
            <w:pPr>
              <w:pStyle w:val="NCCABody"/>
              <w:rPr>
                <w:b/>
                <w:szCs w:val="20"/>
                <w:lang w:val="ga-IE"/>
              </w:rPr>
            </w:pPr>
            <w:r w:rsidRPr="00E55681">
              <w:rPr>
                <w:b/>
                <w:bCs/>
                <w:szCs w:val="20"/>
                <w:lang w:val="ga-IE"/>
              </w:rPr>
              <w:t>Eagraíocht (más cuí)</w:t>
            </w:r>
          </w:p>
        </w:tc>
        <w:tc>
          <w:tcPr>
            <w:tcW w:w="5193" w:type="dxa"/>
          </w:tcPr>
          <w:p w14:paraId="52A85333" w14:textId="6D415C2D" w:rsidR="000C63A1" w:rsidRPr="00A60E88" w:rsidRDefault="000C63A1" w:rsidP="0DDA37F0">
            <w:pPr>
              <w:pStyle w:val="NCCABody"/>
              <w:rPr>
                <w:sz w:val="24"/>
                <w:szCs w:val="24"/>
              </w:rPr>
            </w:pPr>
          </w:p>
          <w:p w14:paraId="20987E1D" w14:textId="58A5451F" w:rsidR="004768CC" w:rsidRPr="00A60E88" w:rsidRDefault="004768CC" w:rsidP="004768CC">
            <w:pPr>
              <w:pStyle w:val="NCCABody"/>
              <w:rPr>
                <w:sz w:val="24"/>
                <w:lang w:val="ga-IE"/>
              </w:rPr>
            </w:pPr>
          </w:p>
        </w:tc>
      </w:tr>
      <w:tr w:rsidR="004768CC" w:rsidRPr="00A60E88" w14:paraId="0DE70E29" w14:textId="77777777" w:rsidTr="0DDA37F0">
        <w:tc>
          <w:tcPr>
            <w:tcW w:w="3823" w:type="dxa"/>
          </w:tcPr>
          <w:p w14:paraId="2B3CBB6C" w14:textId="77777777" w:rsidR="004768CC" w:rsidRPr="00E55681" w:rsidRDefault="004768CC" w:rsidP="004768CC">
            <w:pPr>
              <w:pStyle w:val="NCCABody"/>
              <w:rPr>
                <w:b/>
                <w:szCs w:val="20"/>
                <w:lang w:val="ga-IE"/>
              </w:rPr>
            </w:pPr>
            <w:r w:rsidRPr="00E55681">
              <w:rPr>
                <w:b/>
                <w:bCs/>
                <w:szCs w:val="20"/>
                <w:lang w:val="ga-IE"/>
              </w:rPr>
              <w:t xml:space="preserve">Dáta </w:t>
            </w:r>
          </w:p>
        </w:tc>
        <w:tc>
          <w:tcPr>
            <w:tcW w:w="5193" w:type="dxa"/>
          </w:tcPr>
          <w:p w14:paraId="7FDEF706" w14:textId="77777777" w:rsidR="004768CC" w:rsidRPr="00A60E88" w:rsidRDefault="004768CC" w:rsidP="004768CC">
            <w:pPr>
              <w:pStyle w:val="NCCABody"/>
              <w:rPr>
                <w:sz w:val="24"/>
                <w:lang w:val="ga-IE"/>
              </w:rPr>
            </w:pPr>
          </w:p>
          <w:p w14:paraId="53EEDED2" w14:textId="3CF51898" w:rsidR="000C63A1" w:rsidRPr="00A60E88" w:rsidRDefault="000C63A1" w:rsidP="0DDA37F0">
            <w:pPr>
              <w:pStyle w:val="NCCABody"/>
              <w:rPr>
                <w:sz w:val="24"/>
                <w:szCs w:val="24"/>
              </w:rPr>
            </w:pPr>
          </w:p>
        </w:tc>
      </w:tr>
      <w:tr w:rsidR="004768CC" w:rsidRPr="00A60E88" w14:paraId="6660F7EE" w14:textId="77777777" w:rsidTr="0DDA37F0">
        <w:tc>
          <w:tcPr>
            <w:tcW w:w="3823" w:type="dxa"/>
          </w:tcPr>
          <w:p w14:paraId="7416F5A3" w14:textId="77777777" w:rsidR="004768CC" w:rsidRPr="00E55681" w:rsidRDefault="004768CC" w:rsidP="004768CC">
            <w:pPr>
              <w:pStyle w:val="NCCABody"/>
              <w:rPr>
                <w:b/>
                <w:szCs w:val="20"/>
                <w:lang w:val="ga-IE"/>
              </w:rPr>
            </w:pPr>
            <w:r w:rsidRPr="00E55681">
              <w:rPr>
                <w:b/>
                <w:bCs/>
                <w:szCs w:val="20"/>
                <w:lang w:val="ga-IE"/>
              </w:rPr>
              <w:t xml:space="preserve">Ríomhphost </w:t>
            </w:r>
          </w:p>
        </w:tc>
        <w:tc>
          <w:tcPr>
            <w:tcW w:w="5193" w:type="dxa"/>
          </w:tcPr>
          <w:p w14:paraId="4C99E89F" w14:textId="654E92FA" w:rsidR="004768CC" w:rsidRDefault="004768CC" w:rsidP="004768CC">
            <w:pPr>
              <w:pStyle w:val="NCCABody"/>
              <w:rPr>
                <w:sz w:val="24"/>
                <w:lang w:val="ga-IE"/>
              </w:rPr>
            </w:pPr>
          </w:p>
          <w:p w14:paraId="2FDA57A4" w14:textId="6AD3120F" w:rsidR="004768CC" w:rsidRPr="00A60E88" w:rsidRDefault="004768CC" w:rsidP="0DDA37F0">
            <w:pPr>
              <w:pStyle w:val="NCCABody"/>
              <w:rPr>
                <w:sz w:val="24"/>
                <w:szCs w:val="24"/>
              </w:rPr>
            </w:pPr>
          </w:p>
        </w:tc>
      </w:tr>
    </w:tbl>
    <w:p w14:paraId="0886481B" w14:textId="77777777" w:rsidR="004768CC" w:rsidRPr="00A60E88" w:rsidRDefault="004768CC" w:rsidP="004768CC">
      <w:pPr>
        <w:rPr>
          <w:lang w:val="ga-IE"/>
        </w:rPr>
      </w:pPr>
    </w:p>
    <w:p w14:paraId="569C35E6" w14:textId="300C5A85" w:rsidR="009A6553" w:rsidRPr="00237C86" w:rsidRDefault="00237C86" w:rsidP="00237C86">
      <w:pPr>
        <w:pStyle w:val="paragraph"/>
        <w:spacing w:before="0" w:beforeAutospacing="0" w:after="0" w:afterAutospacing="0"/>
        <w:textAlignment w:val="baseline"/>
        <w:rPr>
          <w:rFonts w:asciiTheme="minorHAnsi" w:hAnsiTheme="minorHAnsi" w:cstheme="minorHAnsi"/>
          <w:b/>
          <w:color w:val="222222"/>
          <w:sz w:val="22"/>
          <w:szCs w:val="22"/>
          <w:shd w:val="clear" w:color="auto" w:fill="F8F9FA"/>
        </w:rPr>
      </w:pPr>
      <w:r w:rsidRPr="00237C86">
        <w:rPr>
          <w:rFonts w:asciiTheme="minorHAnsi" w:hAnsiTheme="minorHAnsi" w:cstheme="minorHAnsi"/>
          <w:b/>
          <w:sz w:val="22"/>
          <w:szCs w:val="22"/>
          <w:lang w:val="ga-IE"/>
        </w:rPr>
        <w:t xml:space="preserve">Tabhair </w:t>
      </w:r>
      <w:r w:rsidRPr="00237C86">
        <w:rPr>
          <w:rFonts w:asciiTheme="minorHAnsi" w:hAnsiTheme="minorHAnsi" w:cstheme="minorHAnsi"/>
          <w:b/>
          <w:color w:val="222222"/>
          <w:sz w:val="22"/>
          <w:szCs w:val="22"/>
          <w:shd w:val="clear" w:color="auto" w:fill="F8F9FA"/>
        </w:rPr>
        <w:t xml:space="preserve">beagán </w:t>
      </w:r>
      <w:r w:rsidRPr="00237C86">
        <w:rPr>
          <w:rFonts w:asciiTheme="minorHAnsi" w:hAnsiTheme="minorHAnsi" w:cstheme="minorHAnsi"/>
          <w:b/>
          <w:sz w:val="22"/>
          <w:szCs w:val="22"/>
          <w:lang w:val="ga-IE"/>
        </w:rPr>
        <w:t xml:space="preserve">eolas faoi d’ </w:t>
      </w:r>
      <w:r w:rsidRPr="00237C86">
        <w:rPr>
          <w:rFonts w:asciiTheme="minorHAnsi" w:hAnsiTheme="minorHAnsi" w:cstheme="minorHAnsi"/>
          <w:b/>
          <w:color w:val="222222"/>
          <w:sz w:val="22"/>
          <w:szCs w:val="22"/>
          <w:shd w:val="clear" w:color="auto" w:fill="F8F9FA"/>
        </w:rPr>
        <w:t xml:space="preserve">eagraíocht le do thoil. </w:t>
      </w:r>
    </w:p>
    <w:p w14:paraId="1E49955A" w14:textId="77777777" w:rsidR="00237C86" w:rsidRPr="00237C86" w:rsidRDefault="00237C86" w:rsidP="00237C86">
      <w:pPr>
        <w:pStyle w:val="paragraph"/>
        <w:spacing w:before="0" w:beforeAutospacing="0" w:after="0" w:afterAutospacing="0"/>
        <w:textAlignment w:val="baseline"/>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4768CC" w:rsidRPr="00A60E88" w14:paraId="32EBAF0B" w14:textId="77777777" w:rsidTr="0DDA37F0">
        <w:tc>
          <w:tcPr>
            <w:tcW w:w="9016" w:type="dxa"/>
          </w:tcPr>
          <w:p w14:paraId="6385C7E4" w14:textId="77777777" w:rsidR="004768CC" w:rsidRPr="00A60E88" w:rsidRDefault="004768CC" w:rsidP="004B563A">
            <w:pPr>
              <w:pStyle w:val="NCCAList"/>
              <w:numPr>
                <w:ilvl w:val="0"/>
                <w:numId w:val="0"/>
              </w:numPr>
              <w:rPr>
                <w:lang w:val="ga-IE"/>
              </w:rPr>
            </w:pPr>
          </w:p>
          <w:p w14:paraId="5A1FBE41" w14:textId="77777777" w:rsidR="004768CC" w:rsidRPr="00A60E88" w:rsidRDefault="004768CC" w:rsidP="004B563A">
            <w:pPr>
              <w:pStyle w:val="NCCAList"/>
              <w:numPr>
                <w:ilvl w:val="0"/>
                <w:numId w:val="0"/>
              </w:numPr>
              <w:rPr>
                <w:lang w:val="ga-IE"/>
              </w:rPr>
            </w:pPr>
          </w:p>
          <w:p w14:paraId="6461BB16" w14:textId="124BD7DB" w:rsidR="00D5232F" w:rsidRPr="00A60E88" w:rsidRDefault="00D5232F" w:rsidP="0DDA37F0">
            <w:pPr>
              <w:pStyle w:val="NCCAList"/>
              <w:numPr>
                <w:ilvl w:val="0"/>
                <w:numId w:val="0"/>
              </w:numPr>
            </w:pPr>
          </w:p>
          <w:p w14:paraId="01ABB281" w14:textId="0ED29C8E" w:rsidR="004768CC" w:rsidRPr="00A60E88" w:rsidRDefault="004768CC" w:rsidP="004B563A">
            <w:pPr>
              <w:pStyle w:val="NCCAList"/>
              <w:numPr>
                <w:ilvl w:val="0"/>
                <w:numId w:val="0"/>
              </w:numPr>
              <w:rPr>
                <w:lang w:val="ga-IE"/>
              </w:rPr>
            </w:pPr>
          </w:p>
        </w:tc>
      </w:tr>
    </w:tbl>
    <w:p w14:paraId="185EB48E" w14:textId="77FE2390" w:rsidR="004768CC" w:rsidRDefault="004768CC" w:rsidP="00237C86">
      <w:pPr>
        <w:pStyle w:val="NCCAList"/>
        <w:numPr>
          <w:ilvl w:val="0"/>
          <w:numId w:val="0"/>
        </w:numPr>
        <w:rPr>
          <w:lang w:val="ga-IE"/>
        </w:rPr>
      </w:pPr>
      <w:bookmarkStart w:id="1" w:name="_Hlk526325400"/>
      <w:r w:rsidRPr="00A60E88">
        <w:rPr>
          <w:lang w:val="ga-IE"/>
        </w:rPr>
        <w:t xml:space="preserve"> </w:t>
      </w:r>
      <w:bookmarkEnd w:id="1"/>
    </w:p>
    <w:p w14:paraId="6BA74A50" w14:textId="77777777" w:rsidR="00CA4DA9" w:rsidRDefault="00CA4DA9" w:rsidP="00237C86">
      <w:pPr>
        <w:pStyle w:val="NCCAList"/>
        <w:numPr>
          <w:ilvl w:val="0"/>
          <w:numId w:val="0"/>
        </w:numPr>
        <w:rPr>
          <w:lang w:val="ga-IE"/>
        </w:rPr>
      </w:pPr>
    </w:p>
    <w:p w14:paraId="219EF5D7" w14:textId="77777777" w:rsidR="009D3048" w:rsidRDefault="009D3048" w:rsidP="00237C86">
      <w:pPr>
        <w:rPr>
          <w:b/>
          <w:bCs/>
          <w:lang w:val="en-IE"/>
        </w:rPr>
      </w:pPr>
      <w:r w:rsidRPr="009D3048">
        <w:rPr>
          <w:b/>
          <w:bCs/>
          <w:lang w:val="en-IE"/>
        </w:rPr>
        <w:lastRenderedPageBreak/>
        <w:t>Cur Chuige</w:t>
      </w:r>
    </w:p>
    <w:p w14:paraId="3FD47ABF" w14:textId="042224AA" w:rsidR="00237C86" w:rsidRDefault="00494481" w:rsidP="00494481">
      <w:pPr>
        <w:rPr>
          <w:rFonts w:ascii="Calibri" w:eastAsia="Calibri" w:hAnsi="Calibri" w:cs="Calibri"/>
          <w:color w:val="000000" w:themeColor="text1"/>
        </w:rPr>
      </w:pPr>
      <w:r w:rsidRPr="00494481">
        <w:rPr>
          <w:rFonts w:ascii="Calibri" w:eastAsia="Calibri" w:hAnsi="Calibri" w:cs="Calibri"/>
          <w:color w:val="000000" w:themeColor="text1"/>
        </w:rPr>
        <w:t>I measc na bpáirtithe leasmhara ar fad, bhíothas go láidir d’aon tuairim go gcaithfidh níos mó a bheith i gceist le OCG ná faisnéis faoi ghnéithe bitheolaíochta an duine ag fás suas, agus faoi ghníomhaíocht ghnéis. Tá cur chuige iomlánaíoch riachtanach lena gcothromaítear plé faoi na rioscaí agus contúirtí a bhaineann le caidrimh agus gníomhaíocht ghnéis, agus plé faoi na gnéithe dearfacha, sláintiúla agus taitneamhacha a bhaineann le caidrimh.</w:t>
      </w:r>
      <w:r>
        <w:rPr>
          <w:rFonts w:ascii="Calibri" w:eastAsia="Calibri" w:hAnsi="Calibri" w:cs="Calibri"/>
          <w:color w:val="000000" w:themeColor="text1"/>
        </w:rPr>
        <w:t xml:space="preserve"> </w:t>
      </w:r>
      <w:r w:rsidRPr="00494481">
        <w:rPr>
          <w:rFonts w:ascii="Calibri" w:eastAsia="Calibri" w:hAnsi="Calibri" w:cs="Calibri"/>
          <w:color w:val="000000" w:themeColor="text1"/>
        </w:rPr>
        <w:t>Is féidir cur chuige iomlánaíoch a thuiscint mar mhúinteoireacht agus fhoghlaim faoi na gnéithe cognaíocha, mothúchánacha, fisiciúla agus sóisialta a bhaineann le caidrimh agus gnéasacht. Tá sé d’aidhm leis eolas, scileanna, dearcaí agus luachanna a thabhairt do leanaí agus daoine óga lena gcumasófar iad chun: a sláinte; a bhfolláine agus a ndínit a thuiscint; caidrimh shóisialta mheasúla agus caidrimh ghnéis mheasúla a fhorbairt; machnamh a dhéanamh ar an mbealach a théann a gcuid roghanna i bhfeidhm ar a bhfolláine féin agus ar fholláine daoine eile; agus cosaint a gceart i gcaitheamh a saoil a thuiscint agus a chinntiú.</w:t>
      </w:r>
    </w:p>
    <w:p w14:paraId="19235FD5" w14:textId="603F934F" w:rsidR="00237C86" w:rsidRDefault="00327BBB" w:rsidP="00237C86">
      <w:pPr>
        <w:rPr>
          <w:rFonts w:ascii="Calibri" w:eastAsia="Calibri" w:hAnsi="Calibri" w:cs="Calibri"/>
          <w:b/>
          <w:bCs/>
          <w:color w:val="000000" w:themeColor="text1"/>
        </w:rPr>
      </w:pPr>
      <w:r w:rsidRPr="00327BBB">
        <w:rPr>
          <w:rFonts w:ascii="Calibri" w:eastAsia="Calibri" w:hAnsi="Calibri" w:cs="Calibri"/>
          <w:b/>
          <w:bCs/>
          <w:color w:val="000000" w:themeColor="text1"/>
        </w:rPr>
        <w:t>Cé chomh mór is a aontaíonn/ easaontaíonn tú i gcoitinne leis an treo a mholtar maidir leis an gcur chuige i leith an OCG a d’eascair as an athbhreithniú?</w:t>
      </w:r>
    </w:p>
    <w:tbl>
      <w:tblPr>
        <w:tblStyle w:val="TableGrid"/>
        <w:tblW w:w="0" w:type="auto"/>
        <w:tblLook w:val="04A0" w:firstRow="1" w:lastRow="0" w:firstColumn="1" w:lastColumn="0" w:noHBand="0" w:noVBand="1"/>
      </w:tblPr>
      <w:tblGrid>
        <w:gridCol w:w="2252"/>
        <w:gridCol w:w="2252"/>
        <w:gridCol w:w="2253"/>
        <w:gridCol w:w="2253"/>
      </w:tblGrid>
      <w:tr w:rsidR="00995E13" w14:paraId="457F9B11" w14:textId="77777777" w:rsidTr="00424622">
        <w:tc>
          <w:tcPr>
            <w:tcW w:w="2252" w:type="dxa"/>
          </w:tcPr>
          <w:p w14:paraId="7D203CFA" w14:textId="15BD5171" w:rsidR="00995E13" w:rsidRPr="00EF7A58" w:rsidRDefault="00995E13" w:rsidP="00995E13">
            <w:pPr>
              <w:rPr>
                <w:rFonts w:ascii="Calibri" w:eastAsia="Calibri" w:hAnsi="Calibri" w:cs="Calibri"/>
                <w:b/>
                <w:bCs/>
                <w:color w:val="000000" w:themeColor="text1"/>
              </w:rPr>
            </w:pPr>
            <w:r w:rsidRPr="00995E13">
              <w:rPr>
                <w:rFonts w:ascii="Calibri" w:eastAsia="Calibri" w:hAnsi="Calibri" w:cs="Calibri"/>
                <w:b/>
                <w:bCs/>
                <w:color w:val="000000" w:themeColor="text1"/>
              </w:rPr>
              <w:t xml:space="preserve"> </w:t>
            </w:r>
            <w:r w:rsidR="00327BBB" w:rsidRPr="00327BBB">
              <w:rPr>
                <w:rFonts w:ascii="Calibri" w:eastAsia="Calibri" w:hAnsi="Calibri" w:cs="Calibri"/>
                <w:b/>
                <w:bCs/>
                <w:color w:val="000000" w:themeColor="text1"/>
              </w:rPr>
              <w:t>Aontaím</w:t>
            </w:r>
            <w:r w:rsidR="00327BBB">
              <w:rPr>
                <w:rFonts w:ascii="Calibri" w:eastAsia="Calibri" w:hAnsi="Calibri" w:cs="Calibri"/>
                <w:b/>
                <w:bCs/>
                <w:color w:val="000000" w:themeColor="text1"/>
              </w:rPr>
              <w:t xml:space="preserve"> </w:t>
            </w:r>
            <w:r w:rsidRPr="00A74B4B">
              <w:rPr>
                <w:rFonts w:ascii="Calibri" w:eastAsia="Calibri" w:hAnsi="Calibri" w:cs="Calibri"/>
                <w:b/>
                <w:bCs/>
                <w:color w:val="000000" w:themeColor="text1"/>
              </w:rPr>
              <w:t>go láidir</w:t>
            </w:r>
          </w:p>
        </w:tc>
        <w:tc>
          <w:tcPr>
            <w:tcW w:w="2252" w:type="dxa"/>
          </w:tcPr>
          <w:p w14:paraId="58D0316A" w14:textId="32294276" w:rsidR="00995E13" w:rsidRPr="00EF7A58" w:rsidRDefault="00995E13" w:rsidP="00995E13">
            <w:pPr>
              <w:rPr>
                <w:rFonts w:ascii="Calibri" w:eastAsia="Calibri" w:hAnsi="Calibri" w:cs="Calibri"/>
                <w:b/>
                <w:bCs/>
                <w:color w:val="000000" w:themeColor="text1"/>
              </w:rPr>
            </w:pPr>
            <w:r w:rsidRPr="00A74B4B">
              <w:rPr>
                <w:rFonts w:ascii="Calibri" w:eastAsia="Calibri" w:hAnsi="Calibri" w:cs="Calibri"/>
                <w:b/>
                <w:bCs/>
                <w:color w:val="000000" w:themeColor="text1"/>
              </w:rPr>
              <w:t xml:space="preserve"> </w:t>
            </w:r>
            <w:r w:rsidR="00327BBB" w:rsidRPr="00327BBB">
              <w:rPr>
                <w:rFonts w:ascii="Calibri" w:eastAsia="Calibri" w:hAnsi="Calibri" w:cs="Calibri"/>
                <w:b/>
                <w:bCs/>
                <w:color w:val="000000" w:themeColor="text1"/>
              </w:rPr>
              <w:t>Aontaím</w:t>
            </w:r>
          </w:p>
        </w:tc>
        <w:tc>
          <w:tcPr>
            <w:tcW w:w="2253" w:type="dxa"/>
          </w:tcPr>
          <w:p w14:paraId="46048D3E" w14:textId="33858B37" w:rsidR="00995E13" w:rsidRPr="00EF7A58" w:rsidRDefault="00995E13" w:rsidP="00995E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sidR="00327BBB">
              <w:rPr>
                <w:rFonts w:ascii="Calibri" w:eastAsia="Calibri" w:hAnsi="Calibri" w:cs="Calibri"/>
                <w:b/>
                <w:bCs/>
                <w:color w:val="000000" w:themeColor="text1"/>
              </w:rPr>
              <w:t>A</w:t>
            </w:r>
            <w:r w:rsidR="00327BBB" w:rsidRPr="00327BBB">
              <w:rPr>
                <w:rFonts w:ascii="Calibri" w:eastAsia="Calibri" w:hAnsi="Calibri" w:cs="Calibri"/>
                <w:b/>
                <w:bCs/>
                <w:color w:val="000000" w:themeColor="text1"/>
              </w:rPr>
              <w:t>ontaím</w:t>
            </w:r>
          </w:p>
        </w:tc>
        <w:tc>
          <w:tcPr>
            <w:tcW w:w="2253" w:type="dxa"/>
          </w:tcPr>
          <w:p w14:paraId="37AB6648" w14:textId="6E4D72CF" w:rsidR="00995E13" w:rsidRPr="00EF7A58" w:rsidRDefault="00995E13" w:rsidP="00995E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sidR="00327BBB">
              <w:rPr>
                <w:rFonts w:ascii="Calibri" w:eastAsia="Calibri" w:hAnsi="Calibri" w:cs="Calibri"/>
                <w:b/>
                <w:bCs/>
                <w:color w:val="000000" w:themeColor="text1"/>
              </w:rPr>
              <w:t>A</w:t>
            </w:r>
            <w:r w:rsidR="00327BBB" w:rsidRPr="00327BBB">
              <w:rPr>
                <w:rFonts w:ascii="Calibri" w:eastAsia="Calibri" w:hAnsi="Calibri" w:cs="Calibri"/>
                <w:b/>
                <w:bCs/>
                <w:color w:val="000000" w:themeColor="text1"/>
              </w:rPr>
              <w:t>ontaím</w:t>
            </w:r>
            <w:r w:rsidRPr="00A74B4B">
              <w:rPr>
                <w:rFonts w:ascii="Calibri" w:eastAsia="Calibri" w:hAnsi="Calibri" w:cs="Calibri"/>
                <w:b/>
                <w:bCs/>
                <w:color w:val="000000" w:themeColor="text1"/>
              </w:rPr>
              <w:t xml:space="preserve"> go láidir</w:t>
            </w:r>
          </w:p>
        </w:tc>
      </w:tr>
      <w:tr w:rsidR="00995E13" w14:paraId="2B6108B6" w14:textId="77777777" w:rsidTr="00424622">
        <w:tc>
          <w:tcPr>
            <w:tcW w:w="2252" w:type="dxa"/>
          </w:tcPr>
          <w:p w14:paraId="4B6CBCE2" w14:textId="77777777" w:rsidR="00995E13" w:rsidRPr="00EF7A58" w:rsidRDefault="00995E13" w:rsidP="00995E13">
            <w:pPr>
              <w:rPr>
                <w:rFonts w:ascii="Calibri" w:eastAsia="Calibri" w:hAnsi="Calibri" w:cs="Calibri"/>
                <w:b/>
                <w:bCs/>
                <w:color w:val="000000" w:themeColor="text1"/>
              </w:rPr>
            </w:pPr>
          </w:p>
        </w:tc>
        <w:tc>
          <w:tcPr>
            <w:tcW w:w="2252" w:type="dxa"/>
          </w:tcPr>
          <w:p w14:paraId="2596FE8C" w14:textId="77777777" w:rsidR="00995E13" w:rsidRPr="00EF7A58" w:rsidRDefault="00995E13" w:rsidP="00995E13">
            <w:pPr>
              <w:rPr>
                <w:rFonts w:ascii="Calibri" w:eastAsia="Calibri" w:hAnsi="Calibri" w:cs="Calibri"/>
                <w:b/>
                <w:bCs/>
                <w:color w:val="000000" w:themeColor="text1"/>
              </w:rPr>
            </w:pPr>
          </w:p>
        </w:tc>
        <w:tc>
          <w:tcPr>
            <w:tcW w:w="2253" w:type="dxa"/>
          </w:tcPr>
          <w:p w14:paraId="2CB00F89" w14:textId="77777777" w:rsidR="00995E13" w:rsidRPr="00EF7A58" w:rsidRDefault="00995E13" w:rsidP="00995E13">
            <w:pPr>
              <w:rPr>
                <w:rFonts w:ascii="Calibri" w:eastAsia="Calibri" w:hAnsi="Calibri" w:cs="Calibri"/>
                <w:b/>
                <w:bCs/>
                <w:color w:val="000000" w:themeColor="text1"/>
              </w:rPr>
            </w:pPr>
          </w:p>
        </w:tc>
        <w:tc>
          <w:tcPr>
            <w:tcW w:w="2253" w:type="dxa"/>
          </w:tcPr>
          <w:p w14:paraId="7950C9F7" w14:textId="77777777" w:rsidR="00995E13" w:rsidRPr="00EF7A58" w:rsidRDefault="00995E13" w:rsidP="00995E13">
            <w:pPr>
              <w:rPr>
                <w:rFonts w:ascii="Calibri" w:eastAsia="Calibri" w:hAnsi="Calibri" w:cs="Calibri"/>
                <w:b/>
                <w:bCs/>
                <w:color w:val="000000" w:themeColor="text1"/>
              </w:rPr>
            </w:pPr>
          </w:p>
        </w:tc>
      </w:tr>
    </w:tbl>
    <w:p w14:paraId="4497EAE2" w14:textId="77777777" w:rsidR="00237C86" w:rsidRDefault="00237C86" w:rsidP="00237C86">
      <w:pPr>
        <w:rPr>
          <w:rFonts w:ascii="Calibri" w:eastAsia="Calibri" w:hAnsi="Calibri" w:cs="Calibri"/>
          <w:b/>
          <w:bCs/>
          <w:color w:val="000000" w:themeColor="text1"/>
        </w:rPr>
      </w:pPr>
    </w:p>
    <w:tbl>
      <w:tblPr>
        <w:tblStyle w:val="TableGrid"/>
        <w:tblW w:w="0" w:type="auto"/>
        <w:tblLook w:val="04A0" w:firstRow="1" w:lastRow="0" w:firstColumn="1" w:lastColumn="0" w:noHBand="0" w:noVBand="1"/>
      </w:tblPr>
      <w:tblGrid>
        <w:gridCol w:w="9010"/>
      </w:tblGrid>
      <w:tr w:rsidR="00237C86" w:rsidRPr="0046305E" w14:paraId="65D37D1D" w14:textId="77777777" w:rsidTr="00424622">
        <w:tc>
          <w:tcPr>
            <w:tcW w:w="9010" w:type="dxa"/>
            <w:shd w:val="clear" w:color="auto" w:fill="auto"/>
          </w:tcPr>
          <w:p w14:paraId="131AC5DB" w14:textId="77777777" w:rsidR="00237C86" w:rsidRDefault="00237C86" w:rsidP="00424622">
            <w:pPr>
              <w:rPr>
                <w:rFonts w:ascii="Calibri" w:eastAsia="Calibri" w:hAnsi="Calibri" w:cs="Calibri"/>
                <w:b/>
                <w:bCs/>
                <w:color w:val="000000" w:themeColor="text1"/>
              </w:rPr>
            </w:pPr>
          </w:p>
          <w:p w14:paraId="30FFF58C" w14:textId="40F3DE47" w:rsidR="00237C86" w:rsidRDefault="00332892" w:rsidP="00424622">
            <w:pPr>
              <w:rPr>
                <w:lang w:val="en-IE"/>
              </w:rPr>
            </w:pPr>
            <w:r w:rsidRPr="00332892">
              <w:rPr>
                <w:rFonts w:ascii="Calibri" w:eastAsia="Calibri" w:hAnsi="Calibri" w:cs="Calibri"/>
                <w:b/>
                <w:bCs/>
                <w:color w:val="000000" w:themeColor="text1"/>
              </w:rPr>
              <w:t>Céard iad na gnéithe den chur chuige a mholtar lena n-aontaíonn/lena n-easaontaíonn tú?</w:t>
            </w:r>
          </w:p>
          <w:p w14:paraId="667BD732" w14:textId="77777777" w:rsidR="00237C86" w:rsidRDefault="00237C86" w:rsidP="00424622">
            <w:pPr>
              <w:rPr>
                <w:lang w:val="en-IE"/>
              </w:rPr>
            </w:pPr>
          </w:p>
          <w:p w14:paraId="37FB831D" w14:textId="77777777" w:rsidR="00237C86" w:rsidRDefault="00237C86" w:rsidP="00424622">
            <w:pPr>
              <w:rPr>
                <w:lang w:val="en-IE"/>
              </w:rPr>
            </w:pPr>
          </w:p>
          <w:p w14:paraId="46E1C33B" w14:textId="77777777" w:rsidR="00237C86" w:rsidRDefault="00237C86" w:rsidP="00424622">
            <w:pPr>
              <w:rPr>
                <w:lang w:val="en-IE"/>
              </w:rPr>
            </w:pPr>
          </w:p>
          <w:p w14:paraId="5E0B8426" w14:textId="77777777" w:rsidR="00237C86" w:rsidRDefault="00237C86" w:rsidP="00424622">
            <w:pPr>
              <w:rPr>
                <w:lang w:val="en-IE"/>
              </w:rPr>
            </w:pPr>
          </w:p>
          <w:p w14:paraId="7AD99E36" w14:textId="77777777" w:rsidR="00237C86" w:rsidRDefault="00237C86" w:rsidP="00424622">
            <w:pPr>
              <w:rPr>
                <w:lang w:val="en-IE"/>
              </w:rPr>
            </w:pPr>
          </w:p>
          <w:p w14:paraId="099779DA" w14:textId="77777777" w:rsidR="00237C86" w:rsidRDefault="00237C86" w:rsidP="00424622">
            <w:pPr>
              <w:rPr>
                <w:lang w:val="en-IE"/>
              </w:rPr>
            </w:pPr>
          </w:p>
          <w:p w14:paraId="132A59F8" w14:textId="77777777" w:rsidR="00237C86" w:rsidRDefault="00237C86" w:rsidP="00424622">
            <w:pPr>
              <w:rPr>
                <w:lang w:val="en-IE"/>
              </w:rPr>
            </w:pPr>
          </w:p>
          <w:p w14:paraId="5ACA344B" w14:textId="77777777" w:rsidR="00237C86" w:rsidRDefault="00237C86" w:rsidP="00424622">
            <w:pPr>
              <w:rPr>
                <w:lang w:val="en-IE"/>
              </w:rPr>
            </w:pPr>
          </w:p>
          <w:p w14:paraId="1A44F9BD" w14:textId="77777777" w:rsidR="00237C86" w:rsidRDefault="00237C86" w:rsidP="00424622">
            <w:pPr>
              <w:rPr>
                <w:lang w:val="en-IE"/>
              </w:rPr>
            </w:pPr>
          </w:p>
          <w:p w14:paraId="632D8EFD" w14:textId="77777777" w:rsidR="00237C86" w:rsidRPr="0046305E" w:rsidRDefault="00237C86" w:rsidP="00424622">
            <w:pPr>
              <w:rPr>
                <w:lang w:val="en-IE"/>
              </w:rPr>
            </w:pPr>
          </w:p>
        </w:tc>
      </w:tr>
      <w:tr w:rsidR="00237C86" w14:paraId="0D841E9A" w14:textId="77777777" w:rsidTr="00424622">
        <w:tc>
          <w:tcPr>
            <w:tcW w:w="9010" w:type="dxa"/>
            <w:shd w:val="clear" w:color="auto" w:fill="auto"/>
          </w:tcPr>
          <w:p w14:paraId="7D73AF60" w14:textId="77777777" w:rsidR="00237C86" w:rsidRDefault="00237C86" w:rsidP="00424622">
            <w:pPr>
              <w:rPr>
                <w:rFonts w:ascii="Calibri" w:eastAsia="Calibri" w:hAnsi="Calibri" w:cs="Calibri"/>
                <w:b/>
                <w:bCs/>
                <w:color w:val="000000" w:themeColor="text1"/>
              </w:rPr>
            </w:pPr>
          </w:p>
          <w:p w14:paraId="7F5FDC21" w14:textId="6CF5B8E0" w:rsidR="00237C86" w:rsidRDefault="00332892" w:rsidP="00424622">
            <w:pPr>
              <w:rPr>
                <w:rFonts w:ascii="Calibri" w:eastAsia="Calibri" w:hAnsi="Calibri" w:cs="Calibri"/>
                <w:color w:val="000000" w:themeColor="text1"/>
              </w:rPr>
            </w:pPr>
            <w:r w:rsidRPr="00332892">
              <w:rPr>
                <w:rFonts w:ascii="Calibri" w:eastAsia="Calibri" w:hAnsi="Calibri" w:cs="Calibri"/>
                <w:b/>
                <w:bCs/>
                <w:color w:val="000000" w:themeColor="text1"/>
              </w:rPr>
              <w:t xml:space="preserve">Céard eile atá </w:t>
            </w:r>
            <w:r w:rsidRPr="00A61DDB">
              <w:rPr>
                <w:rFonts w:ascii="Calibri" w:eastAsia="Calibri" w:hAnsi="Calibri" w:cs="Calibri"/>
                <w:b/>
                <w:bCs/>
                <w:color w:val="000000" w:themeColor="text1"/>
              </w:rPr>
              <w:t>tábhachtach</w:t>
            </w:r>
            <w:r w:rsidRPr="00332892">
              <w:rPr>
                <w:rFonts w:ascii="Calibri" w:eastAsia="Calibri" w:hAnsi="Calibri" w:cs="Calibri"/>
                <w:b/>
                <w:bCs/>
                <w:color w:val="000000" w:themeColor="text1"/>
              </w:rPr>
              <w:t xml:space="preserve"> agus tú ag déanamh do mhachnaimh ar an gcur chuige i leith COSPS/OCG a mhúineadh i scoileanna?</w:t>
            </w:r>
          </w:p>
          <w:p w14:paraId="1B8CCA7D" w14:textId="77777777" w:rsidR="00237C86" w:rsidRDefault="00237C86" w:rsidP="00424622">
            <w:pPr>
              <w:rPr>
                <w:rFonts w:ascii="Calibri" w:eastAsia="Calibri" w:hAnsi="Calibri" w:cs="Calibri"/>
                <w:color w:val="000000" w:themeColor="text1"/>
              </w:rPr>
            </w:pPr>
          </w:p>
          <w:p w14:paraId="0340D17D" w14:textId="77777777" w:rsidR="00237C86" w:rsidRDefault="00237C86" w:rsidP="00424622">
            <w:pPr>
              <w:rPr>
                <w:rFonts w:ascii="Calibri" w:eastAsia="Calibri" w:hAnsi="Calibri" w:cs="Calibri"/>
                <w:color w:val="000000" w:themeColor="text1"/>
              </w:rPr>
            </w:pPr>
          </w:p>
          <w:p w14:paraId="68B1651A" w14:textId="77777777" w:rsidR="00237C86" w:rsidRDefault="00237C86" w:rsidP="00424622">
            <w:pPr>
              <w:rPr>
                <w:rFonts w:ascii="Calibri" w:eastAsia="Calibri" w:hAnsi="Calibri" w:cs="Calibri"/>
                <w:color w:val="000000" w:themeColor="text1"/>
              </w:rPr>
            </w:pPr>
          </w:p>
          <w:p w14:paraId="7880753B" w14:textId="77777777" w:rsidR="00237C86" w:rsidRDefault="00237C86" w:rsidP="00424622">
            <w:pPr>
              <w:rPr>
                <w:rFonts w:ascii="Calibri" w:eastAsia="Calibri" w:hAnsi="Calibri" w:cs="Calibri"/>
                <w:color w:val="000000" w:themeColor="text1"/>
              </w:rPr>
            </w:pPr>
          </w:p>
          <w:p w14:paraId="731E40A8" w14:textId="77777777" w:rsidR="00237C86" w:rsidRDefault="00237C86" w:rsidP="00424622">
            <w:pPr>
              <w:rPr>
                <w:rFonts w:ascii="Calibri" w:eastAsia="Calibri" w:hAnsi="Calibri" w:cs="Calibri"/>
                <w:color w:val="000000" w:themeColor="text1"/>
              </w:rPr>
            </w:pPr>
          </w:p>
          <w:p w14:paraId="6AA36058" w14:textId="77777777" w:rsidR="00237C86" w:rsidRDefault="00237C86" w:rsidP="00424622">
            <w:pPr>
              <w:rPr>
                <w:rFonts w:ascii="Calibri" w:eastAsia="Calibri" w:hAnsi="Calibri" w:cs="Calibri"/>
                <w:color w:val="000000" w:themeColor="text1"/>
              </w:rPr>
            </w:pPr>
          </w:p>
          <w:p w14:paraId="18B3FECA" w14:textId="77777777" w:rsidR="00237C86" w:rsidRDefault="00237C86" w:rsidP="00424622">
            <w:pPr>
              <w:rPr>
                <w:rFonts w:ascii="Calibri" w:eastAsia="Calibri" w:hAnsi="Calibri" w:cs="Calibri"/>
                <w:color w:val="000000" w:themeColor="text1"/>
              </w:rPr>
            </w:pPr>
          </w:p>
          <w:p w14:paraId="4C4257A9" w14:textId="77777777" w:rsidR="00237C86" w:rsidRDefault="00237C86" w:rsidP="00424622">
            <w:pPr>
              <w:rPr>
                <w:rFonts w:ascii="Calibri" w:eastAsia="Calibri" w:hAnsi="Calibri" w:cs="Calibri"/>
                <w:color w:val="000000" w:themeColor="text1"/>
              </w:rPr>
            </w:pPr>
          </w:p>
          <w:p w14:paraId="2829C4CA" w14:textId="77777777" w:rsidR="00237C86" w:rsidRDefault="00237C86" w:rsidP="00424622">
            <w:pPr>
              <w:rPr>
                <w:rFonts w:ascii="Calibri" w:eastAsia="Calibri" w:hAnsi="Calibri" w:cs="Calibri"/>
                <w:color w:val="000000" w:themeColor="text1"/>
              </w:rPr>
            </w:pPr>
          </w:p>
          <w:p w14:paraId="77940902" w14:textId="77777777" w:rsidR="00237C86" w:rsidRDefault="00237C86" w:rsidP="00424622">
            <w:pPr>
              <w:rPr>
                <w:rFonts w:ascii="Calibri" w:eastAsia="Calibri" w:hAnsi="Calibri" w:cs="Calibri"/>
                <w:color w:val="000000" w:themeColor="text1"/>
              </w:rPr>
            </w:pPr>
          </w:p>
          <w:p w14:paraId="052A9B73" w14:textId="29C24A42" w:rsidR="00237C86" w:rsidRDefault="00237C86" w:rsidP="00424622">
            <w:pPr>
              <w:rPr>
                <w:rFonts w:ascii="Calibri" w:eastAsia="Calibri" w:hAnsi="Calibri" w:cs="Calibri"/>
                <w:color w:val="000000" w:themeColor="text1"/>
              </w:rPr>
            </w:pPr>
          </w:p>
          <w:p w14:paraId="1DA79A93" w14:textId="41E1AFA7" w:rsidR="00332892" w:rsidRDefault="00332892" w:rsidP="00424622">
            <w:pPr>
              <w:rPr>
                <w:rFonts w:ascii="Calibri" w:eastAsia="Calibri" w:hAnsi="Calibri" w:cs="Calibri"/>
                <w:color w:val="000000" w:themeColor="text1"/>
              </w:rPr>
            </w:pPr>
          </w:p>
          <w:p w14:paraId="0A1C60A1" w14:textId="77777777" w:rsidR="00332892" w:rsidRDefault="00332892" w:rsidP="00424622">
            <w:pPr>
              <w:rPr>
                <w:rFonts w:ascii="Calibri" w:eastAsia="Calibri" w:hAnsi="Calibri" w:cs="Calibri"/>
                <w:color w:val="000000" w:themeColor="text1"/>
              </w:rPr>
            </w:pPr>
          </w:p>
          <w:p w14:paraId="4E9A38DC" w14:textId="77777777" w:rsidR="00237C86" w:rsidRDefault="00237C86" w:rsidP="00424622">
            <w:pPr>
              <w:rPr>
                <w:rFonts w:ascii="Calibri" w:eastAsia="Calibri" w:hAnsi="Calibri" w:cs="Calibri"/>
                <w:color w:val="000000" w:themeColor="text1"/>
                <w:lang w:val="en-IE"/>
              </w:rPr>
            </w:pPr>
          </w:p>
        </w:tc>
      </w:tr>
    </w:tbl>
    <w:p w14:paraId="53298F54" w14:textId="77777777" w:rsidR="00776A8A" w:rsidRDefault="00776A8A" w:rsidP="00237C86">
      <w:pPr>
        <w:rPr>
          <w:rFonts w:eastAsiaTheme="majorEastAsia"/>
          <w:b/>
          <w:bCs/>
          <w:color w:val="000000" w:themeColor="text1"/>
          <w:sz w:val="24"/>
          <w:szCs w:val="24"/>
          <w:lang w:val="en-IE"/>
        </w:rPr>
      </w:pPr>
    </w:p>
    <w:p w14:paraId="4DEFAC45" w14:textId="39FDA82D" w:rsidR="00237C86" w:rsidRDefault="00776A8A" w:rsidP="00237C86">
      <w:pPr>
        <w:rPr>
          <w:lang w:val="en-IE"/>
        </w:rPr>
      </w:pPr>
      <w:r w:rsidRPr="00776A8A">
        <w:rPr>
          <w:rFonts w:eastAsiaTheme="majorEastAsia"/>
          <w:b/>
          <w:bCs/>
          <w:color w:val="000000" w:themeColor="text1"/>
          <w:sz w:val="24"/>
          <w:szCs w:val="24"/>
          <w:lang w:val="en-IE"/>
        </w:rPr>
        <w:lastRenderedPageBreak/>
        <w:t>Curaclam</w:t>
      </w:r>
    </w:p>
    <w:p w14:paraId="5C4A81EA" w14:textId="148B20B9" w:rsidR="00237C86" w:rsidRDefault="00776A8A" w:rsidP="00237C86">
      <w:pPr>
        <w:rPr>
          <w:rFonts w:ascii="Calibri" w:eastAsia="Calibri" w:hAnsi="Calibri" w:cs="Calibri"/>
          <w:color w:val="000000" w:themeColor="text1"/>
          <w:sz w:val="20"/>
          <w:szCs w:val="20"/>
        </w:rPr>
      </w:pPr>
      <w:r w:rsidRPr="00776A8A">
        <w:rPr>
          <w:lang w:val="en-IE"/>
        </w:rPr>
        <w:t>Tugadh chun suntais leis an Athbhreithniú gur gá aon churaclam amháin a chruthú lena leagfar amach a bhfoghlaimeofar sa Clár Oideachais Shóisialta Phearsanta agus Sláinte (COSPS)/OCG mar aon ábhar amháin agus lena soláthrófar leanúnachas san eispéireas ó luathaois an linbh go dtí aois iar-bhunscoile, céim ar chéim. Rud a dhéanfaidh an CNCM láithreach is ea treoirlínte eatramhacha a fhorbairt chun tacú leis an gcuraclam reatha agus faoi bhealaí gur féidir aghaidh a thabhairt ar an gcuraclam reatha ar shlí níos ionchuimsithí agus soláthróidh an CNCM soiléireacht maidir le mar a fhéadfar ábhair a mhúineadh ar bhealach ionchuimsitheach chun téamaí reatha a aithníodh leis an athbhreithniú a chuimsiú.</w:t>
      </w:r>
    </w:p>
    <w:p w14:paraId="7C82908E" w14:textId="2326DE18" w:rsidR="00995E13" w:rsidRPr="00E55681" w:rsidRDefault="00776A8A" w:rsidP="00995E13">
      <w:pPr>
        <w:rPr>
          <w:rFonts w:ascii="Calibri" w:eastAsia="Calibri" w:hAnsi="Calibri" w:cs="Calibri"/>
          <w:b/>
          <w:bCs/>
          <w:color w:val="000000" w:themeColor="text1"/>
          <w:sz w:val="20"/>
          <w:szCs w:val="20"/>
        </w:rPr>
      </w:pPr>
      <w:r w:rsidRPr="00E55681">
        <w:rPr>
          <w:rStyle w:val="normaltextrun"/>
          <w:rFonts w:ascii="Calibri" w:eastAsia="Times New Roman" w:hAnsi="Calibri" w:cs="Calibri"/>
          <w:b/>
          <w:bCs/>
          <w:color w:val="000000"/>
          <w:lang w:eastAsia="en-GB"/>
        </w:rPr>
        <w:t>Cé chomh mór is a aontaíonn/ easaontaíonn tú leis an ngá le haon churaclam lánpháirtithe amháin le haghaidh COSPS/OCG?</w:t>
      </w:r>
    </w:p>
    <w:tbl>
      <w:tblPr>
        <w:tblStyle w:val="TableGrid"/>
        <w:tblW w:w="0" w:type="auto"/>
        <w:tblLook w:val="04A0" w:firstRow="1" w:lastRow="0" w:firstColumn="1" w:lastColumn="0" w:noHBand="0" w:noVBand="1"/>
      </w:tblPr>
      <w:tblGrid>
        <w:gridCol w:w="2252"/>
        <w:gridCol w:w="2252"/>
        <w:gridCol w:w="2253"/>
        <w:gridCol w:w="2253"/>
      </w:tblGrid>
      <w:tr w:rsidR="00776A8A" w14:paraId="72249BA6" w14:textId="77777777" w:rsidTr="00761513">
        <w:tc>
          <w:tcPr>
            <w:tcW w:w="2252" w:type="dxa"/>
          </w:tcPr>
          <w:p w14:paraId="425AD6E7" w14:textId="77777777" w:rsidR="00776A8A" w:rsidRPr="00EF7A58" w:rsidRDefault="00776A8A" w:rsidP="00761513">
            <w:pPr>
              <w:rPr>
                <w:rFonts w:ascii="Calibri" w:eastAsia="Calibri" w:hAnsi="Calibri" w:cs="Calibri"/>
                <w:b/>
                <w:bCs/>
                <w:color w:val="000000" w:themeColor="text1"/>
              </w:rPr>
            </w:pPr>
            <w:r w:rsidRPr="00327BBB">
              <w:rPr>
                <w:rFonts w:ascii="Calibri" w:eastAsia="Calibri" w:hAnsi="Calibri" w:cs="Calibri"/>
                <w:b/>
                <w:bCs/>
                <w:color w:val="000000" w:themeColor="text1"/>
              </w:rPr>
              <w:t>Aontaím</w:t>
            </w:r>
            <w:r>
              <w:rPr>
                <w:rFonts w:ascii="Calibri" w:eastAsia="Calibri" w:hAnsi="Calibri" w:cs="Calibri"/>
                <w:b/>
                <w:bCs/>
                <w:color w:val="000000" w:themeColor="text1"/>
              </w:rPr>
              <w:t xml:space="preserve"> </w:t>
            </w:r>
            <w:r w:rsidRPr="00A74B4B">
              <w:rPr>
                <w:rFonts w:ascii="Calibri" w:eastAsia="Calibri" w:hAnsi="Calibri" w:cs="Calibri"/>
                <w:b/>
                <w:bCs/>
                <w:color w:val="000000" w:themeColor="text1"/>
              </w:rPr>
              <w:t>go láidir</w:t>
            </w:r>
          </w:p>
        </w:tc>
        <w:tc>
          <w:tcPr>
            <w:tcW w:w="2252" w:type="dxa"/>
          </w:tcPr>
          <w:p w14:paraId="31F33CE0" w14:textId="77777777" w:rsidR="00776A8A" w:rsidRPr="00EF7A58" w:rsidRDefault="00776A8A" w:rsidP="00761513">
            <w:pPr>
              <w:rPr>
                <w:rFonts w:ascii="Calibri" w:eastAsia="Calibri" w:hAnsi="Calibri" w:cs="Calibri"/>
                <w:b/>
                <w:bCs/>
                <w:color w:val="000000" w:themeColor="text1"/>
              </w:rPr>
            </w:pPr>
            <w:r w:rsidRPr="00A74B4B">
              <w:rPr>
                <w:rFonts w:ascii="Calibri" w:eastAsia="Calibri" w:hAnsi="Calibri" w:cs="Calibri"/>
                <w:b/>
                <w:bCs/>
                <w:color w:val="000000" w:themeColor="text1"/>
              </w:rPr>
              <w:t xml:space="preserve"> </w:t>
            </w:r>
            <w:r w:rsidRPr="00327BBB">
              <w:rPr>
                <w:rFonts w:ascii="Calibri" w:eastAsia="Calibri" w:hAnsi="Calibri" w:cs="Calibri"/>
                <w:b/>
                <w:bCs/>
                <w:color w:val="000000" w:themeColor="text1"/>
              </w:rPr>
              <w:t>Aontaím</w:t>
            </w:r>
          </w:p>
        </w:tc>
        <w:tc>
          <w:tcPr>
            <w:tcW w:w="2253" w:type="dxa"/>
          </w:tcPr>
          <w:p w14:paraId="5B7338DC" w14:textId="77777777" w:rsidR="00776A8A" w:rsidRPr="00EF7A58" w:rsidRDefault="00776A8A"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p>
        </w:tc>
        <w:tc>
          <w:tcPr>
            <w:tcW w:w="2253" w:type="dxa"/>
          </w:tcPr>
          <w:p w14:paraId="6E5947CE" w14:textId="77777777" w:rsidR="00776A8A" w:rsidRPr="00EF7A58" w:rsidRDefault="00776A8A"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r w:rsidRPr="00A74B4B">
              <w:rPr>
                <w:rFonts w:ascii="Calibri" w:eastAsia="Calibri" w:hAnsi="Calibri" w:cs="Calibri"/>
                <w:b/>
                <w:bCs/>
                <w:color w:val="000000" w:themeColor="text1"/>
              </w:rPr>
              <w:t xml:space="preserve"> go láidir</w:t>
            </w:r>
          </w:p>
        </w:tc>
      </w:tr>
      <w:tr w:rsidR="00776A8A" w14:paraId="51EB7E03" w14:textId="77777777" w:rsidTr="00761513">
        <w:tc>
          <w:tcPr>
            <w:tcW w:w="2252" w:type="dxa"/>
          </w:tcPr>
          <w:p w14:paraId="01742C37" w14:textId="77777777" w:rsidR="00776A8A" w:rsidRPr="00EF7A58" w:rsidRDefault="00776A8A" w:rsidP="00761513">
            <w:pPr>
              <w:rPr>
                <w:rFonts w:ascii="Calibri" w:eastAsia="Calibri" w:hAnsi="Calibri" w:cs="Calibri"/>
                <w:b/>
                <w:bCs/>
                <w:color w:val="000000" w:themeColor="text1"/>
              </w:rPr>
            </w:pPr>
          </w:p>
        </w:tc>
        <w:tc>
          <w:tcPr>
            <w:tcW w:w="2252" w:type="dxa"/>
          </w:tcPr>
          <w:p w14:paraId="60D0E5A9" w14:textId="77777777" w:rsidR="00776A8A" w:rsidRPr="00EF7A58" w:rsidRDefault="00776A8A" w:rsidP="00761513">
            <w:pPr>
              <w:rPr>
                <w:rFonts w:ascii="Calibri" w:eastAsia="Calibri" w:hAnsi="Calibri" w:cs="Calibri"/>
                <w:b/>
                <w:bCs/>
                <w:color w:val="000000" w:themeColor="text1"/>
              </w:rPr>
            </w:pPr>
          </w:p>
        </w:tc>
        <w:tc>
          <w:tcPr>
            <w:tcW w:w="2253" w:type="dxa"/>
          </w:tcPr>
          <w:p w14:paraId="490780A0" w14:textId="77777777" w:rsidR="00776A8A" w:rsidRPr="00EF7A58" w:rsidRDefault="00776A8A" w:rsidP="00761513">
            <w:pPr>
              <w:rPr>
                <w:rFonts w:ascii="Calibri" w:eastAsia="Calibri" w:hAnsi="Calibri" w:cs="Calibri"/>
                <w:b/>
                <w:bCs/>
                <w:color w:val="000000" w:themeColor="text1"/>
              </w:rPr>
            </w:pPr>
          </w:p>
        </w:tc>
        <w:tc>
          <w:tcPr>
            <w:tcW w:w="2253" w:type="dxa"/>
          </w:tcPr>
          <w:p w14:paraId="3FDE6593" w14:textId="77777777" w:rsidR="00776A8A" w:rsidRPr="00EF7A58" w:rsidRDefault="00776A8A" w:rsidP="00761513">
            <w:pPr>
              <w:rPr>
                <w:rFonts w:ascii="Calibri" w:eastAsia="Calibri" w:hAnsi="Calibri" w:cs="Calibri"/>
                <w:b/>
                <w:bCs/>
                <w:color w:val="000000" w:themeColor="text1"/>
              </w:rPr>
            </w:pPr>
          </w:p>
        </w:tc>
      </w:tr>
    </w:tbl>
    <w:p w14:paraId="097A8D5E" w14:textId="77777777" w:rsidR="00237C86" w:rsidRDefault="00237C86" w:rsidP="00237C86">
      <w:pPr>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9010"/>
      </w:tblGrid>
      <w:tr w:rsidR="00237C86" w:rsidRPr="0046305E" w14:paraId="4673E0A1" w14:textId="77777777" w:rsidTr="00424622">
        <w:tc>
          <w:tcPr>
            <w:tcW w:w="9010" w:type="dxa"/>
            <w:shd w:val="clear" w:color="auto" w:fill="auto"/>
          </w:tcPr>
          <w:p w14:paraId="3D8E0612" w14:textId="77777777" w:rsidR="00237C86" w:rsidRPr="00EF7A58" w:rsidRDefault="00237C86" w:rsidP="00424622">
            <w:pPr>
              <w:rPr>
                <w:lang w:val="en-IE"/>
              </w:rPr>
            </w:pPr>
          </w:p>
          <w:p w14:paraId="2C28C4B7" w14:textId="77777777" w:rsidR="00416039" w:rsidRPr="00416039" w:rsidRDefault="00237C86" w:rsidP="00416039">
            <w:pPr>
              <w:rPr>
                <w:b/>
                <w:bCs/>
                <w:lang w:val="en-IE"/>
              </w:rPr>
            </w:pPr>
            <w:r w:rsidRPr="00EF7A58">
              <w:rPr>
                <w:rStyle w:val="eop"/>
                <w:rFonts w:ascii="Calibri" w:hAnsi="Calibri" w:cs="Calibri"/>
                <w:b/>
                <w:bCs/>
              </w:rPr>
              <w:t> </w:t>
            </w:r>
            <w:r w:rsidR="00416039" w:rsidRPr="00416039">
              <w:rPr>
                <w:b/>
                <w:bCs/>
                <w:lang w:val="en-IE"/>
              </w:rPr>
              <w:t>Tabhair cúis leis an leibhéal lena n aontaíonn/n-easaontaíonn leis sin.</w:t>
            </w:r>
          </w:p>
          <w:p w14:paraId="0C8BBFDA" w14:textId="0F32F2C1" w:rsidR="00237C86" w:rsidRPr="00EF7A58" w:rsidRDefault="00237C86" w:rsidP="00424622">
            <w:pPr>
              <w:pStyle w:val="paragraph"/>
              <w:spacing w:before="0" w:beforeAutospacing="0" w:after="0" w:afterAutospacing="0"/>
              <w:textAlignment w:val="baseline"/>
              <w:rPr>
                <w:rFonts w:ascii="&amp;quot" w:hAnsi="&amp;quot"/>
                <w:b/>
                <w:bCs/>
                <w:sz w:val="20"/>
                <w:szCs w:val="20"/>
              </w:rPr>
            </w:pPr>
          </w:p>
          <w:p w14:paraId="3D96B20E" w14:textId="77777777" w:rsidR="00237C86" w:rsidRDefault="00237C86" w:rsidP="00424622">
            <w:pPr>
              <w:rPr>
                <w:lang w:val="en-IE"/>
              </w:rPr>
            </w:pPr>
          </w:p>
          <w:p w14:paraId="5939864C" w14:textId="77777777" w:rsidR="00237C86" w:rsidRDefault="00237C86" w:rsidP="00424622">
            <w:pPr>
              <w:rPr>
                <w:lang w:val="en-IE"/>
              </w:rPr>
            </w:pPr>
          </w:p>
          <w:p w14:paraId="0EE1E8D4" w14:textId="77777777" w:rsidR="00237C86" w:rsidRDefault="00237C86" w:rsidP="00424622">
            <w:pPr>
              <w:rPr>
                <w:lang w:val="en-IE"/>
              </w:rPr>
            </w:pPr>
          </w:p>
          <w:p w14:paraId="0BADD0FB" w14:textId="77777777" w:rsidR="00237C86" w:rsidRDefault="00237C86" w:rsidP="00424622">
            <w:pPr>
              <w:rPr>
                <w:lang w:val="en-IE"/>
              </w:rPr>
            </w:pPr>
          </w:p>
          <w:p w14:paraId="2636D6FF" w14:textId="77777777" w:rsidR="00237C86" w:rsidRDefault="00237C86" w:rsidP="00424622">
            <w:pPr>
              <w:rPr>
                <w:lang w:val="en-IE"/>
              </w:rPr>
            </w:pPr>
          </w:p>
          <w:p w14:paraId="20E2B5C0" w14:textId="77777777" w:rsidR="00237C86" w:rsidRDefault="00237C86" w:rsidP="00424622">
            <w:pPr>
              <w:rPr>
                <w:lang w:val="en-IE"/>
              </w:rPr>
            </w:pPr>
          </w:p>
          <w:p w14:paraId="34635AAC" w14:textId="77777777" w:rsidR="00237C86" w:rsidRDefault="00237C86" w:rsidP="00424622">
            <w:pPr>
              <w:rPr>
                <w:lang w:val="en-IE"/>
              </w:rPr>
            </w:pPr>
          </w:p>
          <w:p w14:paraId="629A3CBE" w14:textId="77777777" w:rsidR="00237C86" w:rsidRDefault="00237C86" w:rsidP="00424622">
            <w:pPr>
              <w:rPr>
                <w:lang w:val="en-IE"/>
              </w:rPr>
            </w:pPr>
          </w:p>
          <w:p w14:paraId="52193112" w14:textId="77777777" w:rsidR="00237C86" w:rsidRDefault="00237C86" w:rsidP="00424622">
            <w:pPr>
              <w:rPr>
                <w:lang w:val="en-IE"/>
              </w:rPr>
            </w:pPr>
          </w:p>
          <w:p w14:paraId="5C1074D3" w14:textId="77777777" w:rsidR="00237C86" w:rsidRDefault="00237C86" w:rsidP="00424622">
            <w:pPr>
              <w:rPr>
                <w:lang w:val="en-IE"/>
              </w:rPr>
            </w:pPr>
          </w:p>
          <w:p w14:paraId="7E5E9F2F" w14:textId="77777777" w:rsidR="00237C86" w:rsidRDefault="00237C86" w:rsidP="00424622">
            <w:pPr>
              <w:rPr>
                <w:lang w:val="en-IE"/>
              </w:rPr>
            </w:pPr>
          </w:p>
          <w:p w14:paraId="0F0DDACB" w14:textId="77777777" w:rsidR="00237C86" w:rsidRDefault="00237C86" w:rsidP="00424622">
            <w:pPr>
              <w:rPr>
                <w:lang w:val="en-IE"/>
              </w:rPr>
            </w:pPr>
          </w:p>
          <w:p w14:paraId="218F5605" w14:textId="77777777" w:rsidR="00237C86" w:rsidRDefault="00237C86" w:rsidP="00424622">
            <w:pPr>
              <w:rPr>
                <w:lang w:val="en-IE"/>
              </w:rPr>
            </w:pPr>
          </w:p>
          <w:p w14:paraId="12E3C11B" w14:textId="77777777" w:rsidR="00237C86" w:rsidRPr="0046305E" w:rsidRDefault="00237C86" w:rsidP="00424622">
            <w:pPr>
              <w:rPr>
                <w:lang w:val="en-IE"/>
              </w:rPr>
            </w:pPr>
          </w:p>
        </w:tc>
      </w:tr>
      <w:tr w:rsidR="00237C86" w:rsidRPr="0046305E" w14:paraId="62B975A9" w14:textId="77777777" w:rsidTr="00424622">
        <w:tc>
          <w:tcPr>
            <w:tcW w:w="9010" w:type="dxa"/>
            <w:shd w:val="clear" w:color="auto" w:fill="auto"/>
          </w:tcPr>
          <w:p w14:paraId="667D66B0" w14:textId="77777777" w:rsidR="00237C86" w:rsidRDefault="00237C86" w:rsidP="00424622">
            <w:pPr>
              <w:pStyle w:val="paragraph"/>
              <w:spacing w:before="0" w:beforeAutospacing="0" w:after="0" w:afterAutospacing="0"/>
              <w:textAlignment w:val="baseline"/>
              <w:rPr>
                <w:rStyle w:val="normaltextrun"/>
                <w:rFonts w:ascii="Calibri" w:hAnsi="Calibri" w:cs="Calibri"/>
                <w:b/>
                <w:bCs/>
                <w:color w:val="000000"/>
                <w:sz w:val="22"/>
                <w:szCs w:val="22"/>
              </w:rPr>
            </w:pPr>
          </w:p>
          <w:p w14:paraId="75FEBCC9" w14:textId="464ECD77" w:rsidR="00237C86" w:rsidRPr="00A61DDB" w:rsidRDefault="00A61DDB" w:rsidP="00424622">
            <w:pPr>
              <w:pStyle w:val="paragraph"/>
              <w:spacing w:before="0" w:beforeAutospacing="0" w:after="0" w:afterAutospacing="0"/>
              <w:textAlignment w:val="baseline"/>
              <w:rPr>
                <w:rStyle w:val="eop"/>
                <w:rFonts w:ascii="Calibri" w:hAnsi="Calibri" w:cs="Calibri"/>
                <w:b/>
                <w:bCs/>
                <w:sz w:val="22"/>
                <w:szCs w:val="22"/>
              </w:rPr>
            </w:pPr>
            <w:r w:rsidRPr="00A61DDB">
              <w:rPr>
                <w:rStyle w:val="normaltextrun"/>
                <w:rFonts w:ascii="Calibri" w:hAnsi="Calibri" w:cs="Calibri"/>
                <w:b/>
                <w:bCs/>
                <w:color w:val="000000"/>
                <w:sz w:val="22"/>
                <w:szCs w:val="22"/>
              </w:rPr>
              <w:t>Céard eile atá tábhachtach dar leat i ndáil le forbairt ar an gcuraclam COSPS/OCG amach anseo?</w:t>
            </w:r>
          </w:p>
          <w:p w14:paraId="489D50D9"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563368FA"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0D4F17FD"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2E57FE3B"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00C0F58E"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0598ED14"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56CBDD5A"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65F796CC" w14:textId="77777777" w:rsidR="00237C86" w:rsidRDefault="00237C86" w:rsidP="00424622">
            <w:pPr>
              <w:pStyle w:val="paragraph"/>
              <w:spacing w:before="0" w:beforeAutospacing="0" w:after="0" w:afterAutospacing="0"/>
              <w:textAlignment w:val="baseline"/>
              <w:rPr>
                <w:rStyle w:val="eop"/>
                <w:rFonts w:ascii="Calibri" w:hAnsi="Calibri" w:cs="Calibri"/>
                <w:b/>
                <w:bCs/>
              </w:rPr>
            </w:pPr>
          </w:p>
          <w:p w14:paraId="66610D8A" w14:textId="5C20F9AD" w:rsidR="00237C86" w:rsidRDefault="00237C86" w:rsidP="00424622">
            <w:pPr>
              <w:pStyle w:val="paragraph"/>
              <w:spacing w:before="0" w:beforeAutospacing="0" w:after="0" w:afterAutospacing="0"/>
              <w:textAlignment w:val="baseline"/>
              <w:rPr>
                <w:rStyle w:val="eop"/>
                <w:rFonts w:ascii="Calibri" w:hAnsi="Calibri" w:cs="Calibri"/>
                <w:b/>
                <w:bCs/>
              </w:rPr>
            </w:pPr>
          </w:p>
          <w:p w14:paraId="78174AE5" w14:textId="77777777" w:rsidR="00A61DDB" w:rsidRDefault="00A61DDB" w:rsidP="00424622">
            <w:pPr>
              <w:pStyle w:val="paragraph"/>
              <w:spacing w:before="0" w:beforeAutospacing="0" w:after="0" w:afterAutospacing="0"/>
              <w:textAlignment w:val="baseline"/>
              <w:rPr>
                <w:rStyle w:val="eop"/>
                <w:rFonts w:ascii="Calibri" w:hAnsi="Calibri" w:cs="Calibri"/>
                <w:b/>
                <w:bCs/>
              </w:rPr>
            </w:pPr>
          </w:p>
          <w:p w14:paraId="34514385" w14:textId="77777777" w:rsidR="00237C86" w:rsidRPr="005C212A" w:rsidRDefault="00237C86" w:rsidP="00424622">
            <w:pPr>
              <w:pStyle w:val="paragraph"/>
              <w:spacing w:before="0" w:beforeAutospacing="0" w:after="0" w:afterAutospacing="0"/>
              <w:textAlignment w:val="baseline"/>
              <w:rPr>
                <w:rFonts w:ascii="&amp;quot" w:hAnsi="&amp;quot"/>
                <w:b/>
                <w:bCs/>
                <w:sz w:val="18"/>
                <w:szCs w:val="18"/>
              </w:rPr>
            </w:pPr>
          </w:p>
          <w:p w14:paraId="2C981DBC" w14:textId="77777777" w:rsidR="00237C86" w:rsidRDefault="00237C86" w:rsidP="00424622">
            <w:pPr>
              <w:rPr>
                <w:lang w:val="en-IE"/>
              </w:rPr>
            </w:pPr>
          </w:p>
        </w:tc>
      </w:tr>
    </w:tbl>
    <w:p w14:paraId="25439CA3" w14:textId="77777777" w:rsidR="00B81B94" w:rsidRDefault="00B81B94" w:rsidP="00237C86">
      <w:pPr>
        <w:rPr>
          <w:rFonts w:eastAsiaTheme="majorEastAsia"/>
          <w:b/>
          <w:bCs/>
          <w:color w:val="000000" w:themeColor="text1"/>
          <w:sz w:val="24"/>
          <w:szCs w:val="24"/>
          <w:lang w:val="en-IE"/>
        </w:rPr>
      </w:pPr>
    </w:p>
    <w:p w14:paraId="5CCB2387" w14:textId="0A6379C8" w:rsidR="00237C86" w:rsidRPr="00B81B94" w:rsidRDefault="00B81B94" w:rsidP="00237C86">
      <w:pPr>
        <w:rPr>
          <w:sz w:val="20"/>
          <w:szCs w:val="20"/>
          <w:lang w:val="en-IE"/>
        </w:rPr>
      </w:pPr>
      <w:r w:rsidRPr="00B81B94">
        <w:rPr>
          <w:rFonts w:eastAsiaTheme="majorEastAsia"/>
          <w:b/>
          <w:bCs/>
          <w:color w:val="000000" w:themeColor="text1"/>
          <w:lang w:val="en-IE"/>
        </w:rPr>
        <w:lastRenderedPageBreak/>
        <w:t>Ag cruthú na gcoinníollacha cearta do OCG éifeachtach</w:t>
      </w:r>
    </w:p>
    <w:p w14:paraId="5888F7C8" w14:textId="77777777" w:rsidR="00F41EE9" w:rsidRDefault="00F41EE9" w:rsidP="00237C86">
      <w:pPr>
        <w:rPr>
          <w:rFonts w:ascii="Calibri" w:eastAsia="Calibri" w:hAnsi="Calibri" w:cs="Calibri"/>
          <w:color w:val="000000" w:themeColor="text1"/>
          <w:lang w:val="en-IE"/>
        </w:rPr>
      </w:pPr>
      <w:r w:rsidRPr="00F41EE9">
        <w:rPr>
          <w:rFonts w:ascii="Calibri" w:eastAsia="Calibri" w:hAnsi="Calibri" w:cs="Calibri"/>
          <w:color w:val="000000" w:themeColor="text1"/>
          <w:lang w:val="en-IE"/>
        </w:rPr>
        <w:t>Soiléirítear san Athbhreithniú go bhfuil oiliúint agus tacaíocht mhionsonraithe leanúnach ag teastáil ó mhúinteoirí i réimse COSPS/OCG. Dá bharr sin, caithfear an rochtain ar fhorbairt ghairmiúil a bhreisiú ag léibhéil réamhsheirbhíse agus inseirbhíse. Aithníodh leis an athbhreithniú freisin gur gá na hacmhainní reatha múinteoireachta agus foghlama atá ar fáil sa réimse seo a bhreithniú.</w:t>
      </w:r>
    </w:p>
    <w:p w14:paraId="1C62DD69" w14:textId="7D6887ED" w:rsidR="00237C86" w:rsidRPr="0010233F" w:rsidRDefault="00F41EE9" w:rsidP="00237C86">
      <w:pPr>
        <w:rPr>
          <w:rFonts w:ascii="Calibri" w:eastAsia="Calibri" w:hAnsi="Calibri" w:cs="Calibri"/>
          <w:b/>
          <w:bCs/>
          <w:color w:val="000000" w:themeColor="text1"/>
        </w:rPr>
      </w:pPr>
      <w:r w:rsidRPr="00F41EE9">
        <w:rPr>
          <w:rFonts w:ascii="Calibri" w:eastAsia="Calibri" w:hAnsi="Calibri" w:cs="Calibri"/>
          <w:b/>
          <w:bCs/>
          <w:color w:val="000000" w:themeColor="text1"/>
          <w:lang w:val="en-IE"/>
        </w:rPr>
        <w:t>Cé chomh mór is a aontaíonn/ easaontaíonn tú i gcoitinne le torthaí an Athbhreithnithe faoi na coinníollacha atá riachtanach do COSPS /OCG éifeachtach?</w:t>
      </w:r>
    </w:p>
    <w:tbl>
      <w:tblPr>
        <w:tblStyle w:val="TableGrid"/>
        <w:tblW w:w="0" w:type="auto"/>
        <w:tblLook w:val="04A0" w:firstRow="1" w:lastRow="0" w:firstColumn="1" w:lastColumn="0" w:noHBand="0" w:noVBand="1"/>
      </w:tblPr>
      <w:tblGrid>
        <w:gridCol w:w="2252"/>
        <w:gridCol w:w="2252"/>
        <w:gridCol w:w="2253"/>
        <w:gridCol w:w="2253"/>
      </w:tblGrid>
      <w:tr w:rsidR="0010233F" w14:paraId="097643D5" w14:textId="77777777" w:rsidTr="00761513">
        <w:tc>
          <w:tcPr>
            <w:tcW w:w="2252" w:type="dxa"/>
          </w:tcPr>
          <w:p w14:paraId="146554D1" w14:textId="77777777" w:rsidR="0010233F" w:rsidRPr="00EF7A58" w:rsidRDefault="0010233F" w:rsidP="00761513">
            <w:pPr>
              <w:rPr>
                <w:rFonts w:ascii="Calibri" w:eastAsia="Calibri" w:hAnsi="Calibri" w:cs="Calibri"/>
                <w:b/>
                <w:bCs/>
                <w:color w:val="000000" w:themeColor="text1"/>
              </w:rPr>
            </w:pPr>
            <w:r w:rsidRPr="00327BBB">
              <w:rPr>
                <w:rFonts w:ascii="Calibri" w:eastAsia="Calibri" w:hAnsi="Calibri" w:cs="Calibri"/>
                <w:b/>
                <w:bCs/>
                <w:color w:val="000000" w:themeColor="text1"/>
              </w:rPr>
              <w:t>Aontaím</w:t>
            </w:r>
            <w:r>
              <w:rPr>
                <w:rFonts w:ascii="Calibri" w:eastAsia="Calibri" w:hAnsi="Calibri" w:cs="Calibri"/>
                <w:b/>
                <w:bCs/>
                <w:color w:val="000000" w:themeColor="text1"/>
              </w:rPr>
              <w:t xml:space="preserve"> </w:t>
            </w:r>
            <w:r w:rsidRPr="00A74B4B">
              <w:rPr>
                <w:rFonts w:ascii="Calibri" w:eastAsia="Calibri" w:hAnsi="Calibri" w:cs="Calibri"/>
                <w:b/>
                <w:bCs/>
                <w:color w:val="000000" w:themeColor="text1"/>
              </w:rPr>
              <w:t>go láidir</w:t>
            </w:r>
          </w:p>
        </w:tc>
        <w:tc>
          <w:tcPr>
            <w:tcW w:w="2252" w:type="dxa"/>
          </w:tcPr>
          <w:p w14:paraId="0E7389DB" w14:textId="77777777" w:rsidR="0010233F" w:rsidRPr="00EF7A58" w:rsidRDefault="0010233F" w:rsidP="00761513">
            <w:pPr>
              <w:rPr>
                <w:rFonts w:ascii="Calibri" w:eastAsia="Calibri" w:hAnsi="Calibri" w:cs="Calibri"/>
                <w:b/>
                <w:bCs/>
                <w:color w:val="000000" w:themeColor="text1"/>
              </w:rPr>
            </w:pPr>
            <w:r w:rsidRPr="00A74B4B">
              <w:rPr>
                <w:rFonts w:ascii="Calibri" w:eastAsia="Calibri" w:hAnsi="Calibri" w:cs="Calibri"/>
                <w:b/>
                <w:bCs/>
                <w:color w:val="000000" w:themeColor="text1"/>
              </w:rPr>
              <w:t xml:space="preserve"> </w:t>
            </w:r>
            <w:r w:rsidRPr="00327BBB">
              <w:rPr>
                <w:rFonts w:ascii="Calibri" w:eastAsia="Calibri" w:hAnsi="Calibri" w:cs="Calibri"/>
                <w:b/>
                <w:bCs/>
                <w:color w:val="000000" w:themeColor="text1"/>
              </w:rPr>
              <w:t>Aontaím</w:t>
            </w:r>
          </w:p>
        </w:tc>
        <w:tc>
          <w:tcPr>
            <w:tcW w:w="2253" w:type="dxa"/>
          </w:tcPr>
          <w:p w14:paraId="017C4551" w14:textId="77777777" w:rsidR="0010233F" w:rsidRPr="00EF7A58" w:rsidRDefault="0010233F"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p>
        </w:tc>
        <w:tc>
          <w:tcPr>
            <w:tcW w:w="2253" w:type="dxa"/>
          </w:tcPr>
          <w:p w14:paraId="177BF517" w14:textId="77777777" w:rsidR="0010233F" w:rsidRPr="00EF7A58" w:rsidRDefault="0010233F"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r w:rsidRPr="00A74B4B">
              <w:rPr>
                <w:rFonts w:ascii="Calibri" w:eastAsia="Calibri" w:hAnsi="Calibri" w:cs="Calibri"/>
                <w:b/>
                <w:bCs/>
                <w:color w:val="000000" w:themeColor="text1"/>
              </w:rPr>
              <w:t xml:space="preserve"> go láidir</w:t>
            </w:r>
          </w:p>
        </w:tc>
      </w:tr>
      <w:tr w:rsidR="0010233F" w14:paraId="4A120C37" w14:textId="77777777" w:rsidTr="00761513">
        <w:tc>
          <w:tcPr>
            <w:tcW w:w="2252" w:type="dxa"/>
          </w:tcPr>
          <w:p w14:paraId="19150481" w14:textId="77777777" w:rsidR="0010233F" w:rsidRPr="00EF7A58" w:rsidRDefault="0010233F" w:rsidP="00761513">
            <w:pPr>
              <w:rPr>
                <w:rFonts w:ascii="Calibri" w:eastAsia="Calibri" w:hAnsi="Calibri" w:cs="Calibri"/>
                <w:b/>
                <w:bCs/>
                <w:color w:val="000000" w:themeColor="text1"/>
              </w:rPr>
            </w:pPr>
          </w:p>
        </w:tc>
        <w:tc>
          <w:tcPr>
            <w:tcW w:w="2252" w:type="dxa"/>
          </w:tcPr>
          <w:p w14:paraId="565A9AF2" w14:textId="77777777" w:rsidR="0010233F" w:rsidRPr="00EF7A58" w:rsidRDefault="0010233F" w:rsidP="00761513">
            <w:pPr>
              <w:rPr>
                <w:rFonts w:ascii="Calibri" w:eastAsia="Calibri" w:hAnsi="Calibri" w:cs="Calibri"/>
                <w:b/>
                <w:bCs/>
                <w:color w:val="000000" w:themeColor="text1"/>
              </w:rPr>
            </w:pPr>
          </w:p>
        </w:tc>
        <w:tc>
          <w:tcPr>
            <w:tcW w:w="2253" w:type="dxa"/>
          </w:tcPr>
          <w:p w14:paraId="6CF72272" w14:textId="77777777" w:rsidR="0010233F" w:rsidRPr="00EF7A58" w:rsidRDefault="0010233F" w:rsidP="00761513">
            <w:pPr>
              <w:rPr>
                <w:rFonts w:ascii="Calibri" w:eastAsia="Calibri" w:hAnsi="Calibri" w:cs="Calibri"/>
                <w:b/>
                <w:bCs/>
                <w:color w:val="000000" w:themeColor="text1"/>
              </w:rPr>
            </w:pPr>
          </w:p>
        </w:tc>
        <w:tc>
          <w:tcPr>
            <w:tcW w:w="2253" w:type="dxa"/>
          </w:tcPr>
          <w:p w14:paraId="5FF1608E" w14:textId="77777777" w:rsidR="0010233F" w:rsidRPr="00EF7A58" w:rsidRDefault="0010233F" w:rsidP="00761513">
            <w:pPr>
              <w:rPr>
                <w:rFonts w:ascii="Calibri" w:eastAsia="Calibri" w:hAnsi="Calibri" w:cs="Calibri"/>
                <w:b/>
                <w:bCs/>
                <w:color w:val="000000" w:themeColor="text1"/>
              </w:rPr>
            </w:pPr>
          </w:p>
        </w:tc>
      </w:tr>
    </w:tbl>
    <w:p w14:paraId="7C5CEFB8" w14:textId="77777777" w:rsidR="0010233F" w:rsidRDefault="0010233F" w:rsidP="00237C86"/>
    <w:tbl>
      <w:tblPr>
        <w:tblStyle w:val="TableGrid"/>
        <w:tblW w:w="0" w:type="auto"/>
        <w:tblLook w:val="04A0" w:firstRow="1" w:lastRow="0" w:firstColumn="1" w:lastColumn="0" w:noHBand="0" w:noVBand="1"/>
      </w:tblPr>
      <w:tblGrid>
        <w:gridCol w:w="9010"/>
      </w:tblGrid>
      <w:tr w:rsidR="00237C86" w:rsidRPr="0046305E" w14:paraId="2C641BCF" w14:textId="77777777" w:rsidTr="00424622">
        <w:tc>
          <w:tcPr>
            <w:tcW w:w="9010" w:type="dxa"/>
            <w:shd w:val="clear" w:color="auto" w:fill="auto"/>
          </w:tcPr>
          <w:p w14:paraId="17D4B51A" w14:textId="77777777" w:rsidR="00237C86" w:rsidRDefault="00237C86" w:rsidP="00424622">
            <w:pPr>
              <w:rPr>
                <w:lang w:val="en-IE"/>
              </w:rPr>
            </w:pPr>
          </w:p>
          <w:p w14:paraId="56346383" w14:textId="77777777" w:rsidR="00237C86" w:rsidRPr="00090BE9" w:rsidRDefault="00237C86" w:rsidP="00424622">
            <w:pPr>
              <w:rPr>
                <w:b/>
                <w:bCs/>
                <w:lang w:val="en-IE"/>
              </w:rPr>
            </w:pPr>
            <w:r w:rsidRPr="00090BE9">
              <w:rPr>
                <w:b/>
                <w:bCs/>
                <w:lang w:val="en-IE"/>
              </w:rPr>
              <w:t>Please provide a reason for your level of agreement/disagreement.</w:t>
            </w:r>
          </w:p>
          <w:p w14:paraId="32DA73DB" w14:textId="77777777" w:rsidR="00237C86" w:rsidRDefault="00237C86" w:rsidP="00424622">
            <w:pPr>
              <w:rPr>
                <w:lang w:val="en-IE"/>
              </w:rPr>
            </w:pPr>
          </w:p>
          <w:p w14:paraId="019B552E" w14:textId="77777777" w:rsidR="00237C86" w:rsidRDefault="00237C86" w:rsidP="00424622">
            <w:pPr>
              <w:rPr>
                <w:lang w:val="en-IE"/>
              </w:rPr>
            </w:pPr>
          </w:p>
          <w:p w14:paraId="3F1F772A" w14:textId="77777777" w:rsidR="00237C86" w:rsidRDefault="00237C86" w:rsidP="00424622">
            <w:pPr>
              <w:rPr>
                <w:lang w:val="en-IE"/>
              </w:rPr>
            </w:pPr>
          </w:p>
          <w:p w14:paraId="352B5B9A" w14:textId="77777777" w:rsidR="00237C86" w:rsidRDefault="00237C86" w:rsidP="00424622">
            <w:pPr>
              <w:rPr>
                <w:lang w:val="en-IE"/>
              </w:rPr>
            </w:pPr>
          </w:p>
          <w:p w14:paraId="5B6603FA" w14:textId="77777777" w:rsidR="00237C86" w:rsidRDefault="00237C86" w:rsidP="00424622">
            <w:pPr>
              <w:rPr>
                <w:lang w:val="en-IE"/>
              </w:rPr>
            </w:pPr>
          </w:p>
          <w:p w14:paraId="73B37046" w14:textId="77777777" w:rsidR="00237C86" w:rsidRDefault="00237C86" w:rsidP="00424622">
            <w:pPr>
              <w:rPr>
                <w:lang w:val="en-IE"/>
              </w:rPr>
            </w:pPr>
          </w:p>
          <w:p w14:paraId="45E72132" w14:textId="77777777" w:rsidR="00237C86" w:rsidRDefault="00237C86" w:rsidP="00424622">
            <w:pPr>
              <w:rPr>
                <w:lang w:val="en-IE"/>
              </w:rPr>
            </w:pPr>
          </w:p>
          <w:p w14:paraId="4EF14711" w14:textId="77777777" w:rsidR="00237C86" w:rsidRDefault="00237C86" w:rsidP="00424622">
            <w:pPr>
              <w:rPr>
                <w:lang w:val="en-IE"/>
              </w:rPr>
            </w:pPr>
          </w:p>
          <w:p w14:paraId="19403118" w14:textId="77777777" w:rsidR="00237C86" w:rsidRDefault="00237C86" w:rsidP="00424622">
            <w:pPr>
              <w:rPr>
                <w:lang w:val="en-IE"/>
              </w:rPr>
            </w:pPr>
          </w:p>
          <w:p w14:paraId="4EA817FF" w14:textId="77777777" w:rsidR="00237C86" w:rsidRDefault="00237C86" w:rsidP="00424622">
            <w:pPr>
              <w:rPr>
                <w:lang w:val="en-IE"/>
              </w:rPr>
            </w:pPr>
          </w:p>
          <w:p w14:paraId="21AD66E8" w14:textId="77777777" w:rsidR="00237C86" w:rsidRDefault="00237C86" w:rsidP="00424622">
            <w:pPr>
              <w:rPr>
                <w:lang w:val="en-IE"/>
              </w:rPr>
            </w:pPr>
          </w:p>
          <w:p w14:paraId="1451A0E2" w14:textId="77777777" w:rsidR="00237C86" w:rsidRDefault="00237C86" w:rsidP="00424622">
            <w:pPr>
              <w:rPr>
                <w:lang w:val="en-IE"/>
              </w:rPr>
            </w:pPr>
          </w:p>
          <w:p w14:paraId="1A95C656" w14:textId="77777777" w:rsidR="00237C86" w:rsidRDefault="00237C86" w:rsidP="00424622">
            <w:pPr>
              <w:rPr>
                <w:lang w:val="en-IE"/>
              </w:rPr>
            </w:pPr>
          </w:p>
          <w:p w14:paraId="7EE6889C" w14:textId="77777777" w:rsidR="00237C86" w:rsidRDefault="00237C86" w:rsidP="00424622">
            <w:pPr>
              <w:rPr>
                <w:lang w:val="en-IE"/>
              </w:rPr>
            </w:pPr>
          </w:p>
          <w:p w14:paraId="6D13D1CA" w14:textId="77777777" w:rsidR="00237C86" w:rsidRPr="0046305E" w:rsidRDefault="00237C86" w:rsidP="00424622">
            <w:pPr>
              <w:rPr>
                <w:lang w:val="en-IE"/>
              </w:rPr>
            </w:pPr>
          </w:p>
        </w:tc>
      </w:tr>
      <w:tr w:rsidR="00237C86" w:rsidRPr="0046305E" w14:paraId="1BEF74A6" w14:textId="77777777" w:rsidTr="00424622">
        <w:tc>
          <w:tcPr>
            <w:tcW w:w="9010" w:type="dxa"/>
            <w:shd w:val="clear" w:color="auto" w:fill="auto"/>
          </w:tcPr>
          <w:p w14:paraId="178B9D8F" w14:textId="77777777" w:rsidR="00237C86" w:rsidRPr="00224C68" w:rsidRDefault="00237C86" w:rsidP="00424622">
            <w:pPr>
              <w:rPr>
                <w:b/>
                <w:bCs/>
                <w:lang w:val="en-IE"/>
              </w:rPr>
            </w:pPr>
          </w:p>
          <w:p w14:paraId="38F094C8" w14:textId="7C983028" w:rsidR="00237C86" w:rsidRDefault="00B94B63" w:rsidP="00424622">
            <w:pPr>
              <w:rPr>
                <w:b/>
                <w:bCs/>
                <w:lang w:val="en-IE"/>
              </w:rPr>
            </w:pPr>
            <w:r w:rsidRPr="00B94B63">
              <w:rPr>
                <w:b/>
                <w:bCs/>
                <w:lang w:val="en-IE"/>
              </w:rPr>
              <w:t>Céard eile atá tábhachtach chun na coinníollacha a chruthú do COSPS /OCG éifeachtach?</w:t>
            </w:r>
          </w:p>
          <w:p w14:paraId="00888531" w14:textId="77777777" w:rsidR="00237C86" w:rsidRDefault="00237C86" w:rsidP="00424622">
            <w:pPr>
              <w:rPr>
                <w:b/>
                <w:bCs/>
                <w:lang w:val="en-IE"/>
              </w:rPr>
            </w:pPr>
          </w:p>
          <w:p w14:paraId="106A55B0" w14:textId="77777777" w:rsidR="00237C86" w:rsidRDefault="00237C86" w:rsidP="00424622">
            <w:pPr>
              <w:rPr>
                <w:b/>
                <w:bCs/>
                <w:lang w:val="en-IE"/>
              </w:rPr>
            </w:pPr>
          </w:p>
          <w:p w14:paraId="5A65ECD8" w14:textId="77777777" w:rsidR="00237C86" w:rsidRDefault="00237C86" w:rsidP="00424622">
            <w:pPr>
              <w:rPr>
                <w:b/>
                <w:bCs/>
                <w:lang w:val="en-IE"/>
              </w:rPr>
            </w:pPr>
          </w:p>
          <w:p w14:paraId="133C10BF" w14:textId="77777777" w:rsidR="00237C86" w:rsidRDefault="00237C86" w:rsidP="00424622">
            <w:pPr>
              <w:rPr>
                <w:b/>
                <w:bCs/>
                <w:lang w:val="en-IE"/>
              </w:rPr>
            </w:pPr>
          </w:p>
          <w:p w14:paraId="025B2B55" w14:textId="77777777" w:rsidR="00237C86" w:rsidRDefault="00237C86" w:rsidP="00424622">
            <w:pPr>
              <w:rPr>
                <w:b/>
                <w:bCs/>
                <w:lang w:val="en-IE"/>
              </w:rPr>
            </w:pPr>
          </w:p>
          <w:p w14:paraId="7E9A1B57" w14:textId="77777777" w:rsidR="00237C86" w:rsidRDefault="00237C86" w:rsidP="00424622">
            <w:pPr>
              <w:rPr>
                <w:b/>
                <w:bCs/>
                <w:lang w:val="en-IE"/>
              </w:rPr>
            </w:pPr>
          </w:p>
          <w:p w14:paraId="7917D30A" w14:textId="77777777" w:rsidR="00237C86" w:rsidRDefault="00237C86" w:rsidP="00424622">
            <w:pPr>
              <w:rPr>
                <w:b/>
                <w:bCs/>
                <w:lang w:val="en-IE"/>
              </w:rPr>
            </w:pPr>
          </w:p>
          <w:p w14:paraId="22080FE9" w14:textId="77777777" w:rsidR="00237C86" w:rsidRDefault="00237C86" w:rsidP="00424622">
            <w:pPr>
              <w:rPr>
                <w:b/>
                <w:bCs/>
                <w:lang w:val="en-IE"/>
              </w:rPr>
            </w:pPr>
          </w:p>
          <w:p w14:paraId="2A571910" w14:textId="77777777" w:rsidR="00237C86" w:rsidRDefault="00237C86" w:rsidP="00424622">
            <w:pPr>
              <w:rPr>
                <w:b/>
                <w:bCs/>
                <w:lang w:val="en-IE"/>
              </w:rPr>
            </w:pPr>
          </w:p>
          <w:p w14:paraId="6A695639" w14:textId="77777777" w:rsidR="00237C86" w:rsidRDefault="00237C86" w:rsidP="00424622">
            <w:pPr>
              <w:rPr>
                <w:b/>
                <w:bCs/>
                <w:lang w:val="en-IE"/>
              </w:rPr>
            </w:pPr>
          </w:p>
          <w:p w14:paraId="661DB99F" w14:textId="77777777" w:rsidR="00237C86" w:rsidRDefault="00237C86" w:rsidP="00424622">
            <w:pPr>
              <w:rPr>
                <w:b/>
                <w:bCs/>
                <w:lang w:val="en-IE"/>
              </w:rPr>
            </w:pPr>
          </w:p>
          <w:p w14:paraId="1D66FEB4" w14:textId="77777777" w:rsidR="00237C86" w:rsidRDefault="00237C86" w:rsidP="00424622">
            <w:pPr>
              <w:rPr>
                <w:b/>
                <w:bCs/>
                <w:lang w:val="en-IE"/>
              </w:rPr>
            </w:pPr>
          </w:p>
          <w:p w14:paraId="1345EF1F" w14:textId="77777777" w:rsidR="00237C86" w:rsidRPr="00224C68" w:rsidRDefault="00237C86" w:rsidP="00424622">
            <w:pPr>
              <w:rPr>
                <w:b/>
                <w:bCs/>
                <w:lang w:val="en-IE"/>
              </w:rPr>
            </w:pPr>
          </w:p>
          <w:p w14:paraId="7CF346C8" w14:textId="77777777" w:rsidR="00237C86" w:rsidRPr="00224C68" w:rsidRDefault="00237C86" w:rsidP="00424622">
            <w:pPr>
              <w:rPr>
                <w:b/>
                <w:bCs/>
                <w:lang w:val="en-IE"/>
              </w:rPr>
            </w:pPr>
          </w:p>
        </w:tc>
      </w:tr>
    </w:tbl>
    <w:p w14:paraId="4C5ABFDF" w14:textId="58C0E8F1" w:rsidR="00237C86" w:rsidRDefault="00237C86" w:rsidP="00237C86">
      <w:pPr>
        <w:rPr>
          <w:b/>
          <w:lang w:val="en-IE"/>
        </w:rPr>
      </w:pPr>
    </w:p>
    <w:p w14:paraId="7BB53DF6" w14:textId="5EB6F77A" w:rsidR="00330EF4" w:rsidRDefault="00330EF4" w:rsidP="00237C86">
      <w:pPr>
        <w:rPr>
          <w:b/>
          <w:lang w:val="en-IE"/>
        </w:rPr>
      </w:pPr>
    </w:p>
    <w:p w14:paraId="2C40F6F0" w14:textId="77777777" w:rsidR="00236F08" w:rsidRPr="0046305E" w:rsidRDefault="00236F08" w:rsidP="00237C86">
      <w:pPr>
        <w:rPr>
          <w:b/>
          <w:lang w:val="en-IE"/>
        </w:rPr>
      </w:pPr>
    </w:p>
    <w:p w14:paraId="4EAA2D19" w14:textId="758A8902" w:rsidR="00237C86" w:rsidRPr="00236F08" w:rsidRDefault="00236F08" w:rsidP="00237C86">
      <w:pPr>
        <w:rPr>
          <w:sz w:val="20"/>
          <w:szCs w:val="20"/>
          <w:lang w:val="en-IE"/>
        </w:rPr>
      </w:pPr>
      <w:r w:rsidRPr="00236F08">
        <w:rPr>
          <w:rFonts w:eastAsiaTheme="majorEastAsia"/>
          <w:b/>
          <w:bCs/>
          <w:color w:val="000000" w:themeColor="text1"/>
          <w:lang w:val="en-IE"/>
        </w:rPr>
        <w:lastRenderedPageBreak/>
        <w:t>Nithe eile le cur san áireamh</w:t>
      </w:r>
    </w:p>
    <w:p w14:paraId="5F30ACD4" w14:textId="25D29FFE" w:rsidR="00237C86" w:rsidRDefault="00084D5F" w:rsidP="00237C86">
      <w:pPr>
        <w:rPr>
          <w:lang w:val="en-IE"/>
        </w:rPr>
      </w:pPr>
      <w:r w:rsidRPr="00084D5F">
        <w:rPr>
          <w:lang w:val="en-IE"/>
        </w:rPr>
        <w:t>Thángthas ar an gconclúid leis an Athbhreithniú go bhfuil maoirseacht agus tacaíocht chuimsitheach riachtanach le haghaidh COSPS/OCG chun freastal ar na riachtanais a aithníodh san athbhreithniú. Fuarthas freisin leis an athbhreithniú nach féidir le scoileanna é a dhéanamh ina n-aonar agus nach mór tacú le tuismitheoirí agus iad a spreagadh le freagracht a ghlacadh as foghlaim a leanaí. Lena chois sin, tugann sé le fios go bhfuil tuilleadh tacaíochta agus treorach ag teastáil ó iar-bhunscoileanna sa phleanáil maidir le folláine na sraithe sóisearaí chun foghlaim na ndaltaí sa COSPS/OCG a bhreisiú.</w:t>
      </w:r>
    </w:p>
    <w:p w14:paraId="5D48CB81" w14:textId="7A5DEE40" w:rsidR="00995E13" w:rsidRDefault="00222779" w:rsidP="00995E13">
      <w:pPr>
        <w:rPr>
          <w:rFonts w:eastAsia="Times New Roman" w:cstheme="minorHAnsi"/>
          <w:b/>
          <w:bCs/>
          <w:lang w:val="en-IE" w:eastAsia="en-GB"/>
        </w:rPr>
      </w:pPr>
      <w:r w:rsidRPr="00222779">
        <w:rPr>
          <w:rFonts w:eastAsia="Times New Roman" w:cstheme="minorHAnsi"/>
          <w:b/>
          <w:bCs/>
          <w:lang w:val="en-IE" w:eastAsia="en-GB"/>
        </w:rPr>
        <w:t>Cé chomh mór is a aontaíonn/ easaontaíonn tú i gcoitinne leis gur nithe tábhachtacha iad seo le cur san áireamh ó thaobh COSPS/OCG?</w:t>
      </w:r>
    </w:p>
    <w:tbl>
      <w:tblPr>
        <w:tblStyle w:val="TableGrid"/>
        <w:tblW w:w="0" w:type="auto"/>
        <w:tblLook w:val="04A0" w:firstRow="1" w:lastRow="0" w:firstColumn="1" w:lastColumn="0" w:noHBand="0" w:noVBand="1"/>
      </w:tblPr>
      <w:tblGrid>
        <w:gridCol w:w="2252"/>
        <w:gridCol w:w="2252"/>
        <w:gridCol w:w="2253"/>
        <w:gridCol w:w="2253"/>
      </w:tblGrid>
      <w:tr w:rsidR="00222779" w14:paraId="35D83BAD" w14:textId="77777777" w:rsidTr="00761513">
        <w:tc>
          <w:tcPr>
            <w:tcW w:w="2252" w:type="dxa"/>
          </w:tcPr>
          <w:p w14:paraId="529AC5C0" w14:textId="77777777" w:rsidR="00222779" w:rsidRPr="00EF7A58" w:rsidRDefault="00222779" w:rsidP="00761513">
            <w:pPr>
              <w:rPr>
                <w:rFonts w:ascii="Calibri" w:eastAsia="Calibri" w:hAnsi="Calibri" w:cs="Calibri"/>
                <w:b/>
                <w:bCs/>
                <w:color w:val="000000" w:themeColor="text1"/>
              </w:rPr>
            </w:pPr>
            <w:r w:rsidRPr="00327BBB">
              <w:rPr>
                <w:rFonts w:ascii="Calibri" w:eastAsia="Calibri" w:hAnsi="Calibri" w:cs="Calibri"/>
                <w:b/>
                <w:bCs/>
                <w:color w:val="000000" w:themeColor="text1"/>
              </w:rPr>
              <w:t>Aontaím</w:t>
            </w:r>
            <w:r>
              <w:rPr>
                <w:rFonts w:ascii="Calibri" w:eastAsia="Calibri" w:hAnsi="Calibri" w:cs="Calibri"/>
                <w:b/>
                <w:bCs/>
                <w:color w:val="000000" w:themeColor="text1"/>
              </w:rPr>
              <w:t xml:space="preserve"> </w:t>
            </w:r>
            <w:r w:rsidRPr="00A74B4B">
              <w:rPr>
                <w:rFonts w:ascii="Calibri" w:eastAsia="Calibri" w:hAnsi="Calibri" w:cs="Calibri"/>
                <w:b/>
                <w:bCs/>
                <w:color w:val="000000" w:themeColor="text1"/>
              </w:rPr>
              <w:t>go láidir</w:t>
            </w:r>
          </w:p>
        </w:tc>
        <w:tc>
          <w:tcPr>
            <w:tcW w:w="2252" w:type="dxa"/>
          </w:tcPr>
          <w:p w14:paraId="16A14439" w14:textId="77777777" w:rsidR="00222779" w:rsidRPr="00EF7A58" w:rsidRDefault="00222779" w:rsidP="00761513">
            <w:pPr>
              <w:rPr>
                <w:rFonts w:ascii="Calibri" w:eastAsia="Calibri" w:hAnsi="Calibri" w:cs="Calibri"/>
                <w:b/>
                <w:bCs/>
                <w:color w:val="000000" w:themeColor="text1"/>
              </w:rPr>
            </w:pPr>
            <w:r w:rsidRPr="00A74B4B">
              <w:rPr>
                <w:rFonts w:ascii="Calibri" w:eastAsia="Calibri" w:hAnsi="Calibri" w:cs="Calibri"/>
                <w:b/>
                <w:bCs/>
                <w:color w:val="000000" w:themeColor="text1"/>
              </w:rPr>
              <w:t xml:space="preserve"> </w:t>
            </w:r>
            <w:r w:rsidRPr="00327BBB">
              <w:rPr>
                <w:rFonts w:ascii="Calibri" w:eastAsia="Calibri" w:hAnsi="Calibri" w:cs="Calibri"/>
                <w:b/>
                <w:bCs/>
                <w:color w:val="000000" w:themeColor="text1"/>
              </w:rPr>
              <w:t>Aontaím</w:t>
            </w:r>
          </w:p>
        </w:tc>
        <w:tc>
          <w:tcPr>
            <w:tcW w:w="2253" w:type="dxa"/>
          </w:tcPr>
          <w:p w14:paraId="43C300A5" w14:textId="77777777" w:rsidR="00222779" w:rsidRPr="00EF7A58" w:rsidRDefault="00222779"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p>
        </w:tc>
        <w:tc>
          <w:tcPr>
            <w:tcW w:w="2253" w:type="dxa"/>
          </w:tcPr>
          <w:p w14:paraId="2AFC8DCA" w14:textId="77777777" w:rsidR="00222779" w:rsidRPr="00EF7A58" w:rsidRDefault="00222779" w:rsidP="00761513">
            <w:pPr>
              <w:rPr>
                <w:rFonts w:ascii="Calibri" w:eastAsia="Calibri" w:hAnsi="Calibri" w:cs="Calibri"/>
                <w:b/>
                <w:bCs/>
                <w:color w:val="000000" w:themeColor="text1"/>
              </w:rPr>
            </w:pPr>
            <w:r>
              <w:rPr>
                <w:rFonts w:ascii="Calibri" w:eastAsia="Calibri" w:hAnsi="Calibri" w:cs="Calibri"/>
                <w:b/>
                <w:bCs/>
                <w:color w:val="000000" w:themeColor="text1"/>
              </w:rPr>
              <w:t>N</w:t>
            </w:r>
            <w:r w:rsidRPr="00995E13">
              <w:rPr>
                <w:rFonts w:ascii="Calibri" w:eastAsia="Calibri" w:hAnsi="Calibri" w:cs="Calibri"/>
                <w:b/>
                <w:bCs/>
                <w:color w:val="000000" w:themeColor="text1"/>
              </w:rPr>
              <w:t xml:space="preserve">í </w:t>
            </w:r>
            <w:r>
              <w:rPr>
                <w:rFonts w:ascii="Calibri" w:eastAsia="Calibri" w:hAnsi="Calibri" w:cs="Calibri"/>
                <w:b/>
                <w:bCs/>
                <w:color w:val="000000" w:themeColor="text1"/>
              </w:rPr>
              <w:t>A</w:t>
            </w:r>
            <w:r w:rsidRPr="00327BBB">
              <w:rPr>
                <w:rFonts w:ascii="Calibri" w:eastAsia="Calibri" w:hAnsi="Calibri" w:cs="Calibri"/>
                <w:b/>
                <w:bCs/>
                <w:color w:val="000000" w:themeColor="text1"/>
              </w:rPr>
              <w:t>ontaím</w:t>
            </w:r>
            <w:r w:rsidRPr="00A74B4B">
              <w:rPr>
                <w:rFonts w:ascii="Calibri" w:eastAsia="Calibri" w:hAnsi="Calibri" w:cs="Calibri"/>
                <w:b/>
                <w:bCs/>
                <w:color w:val="000000" w:themeColor="text1"/>
              </w:rPr>
              <w:t xml:space="preserve"> go láidir</w:t>
            </w:r>
          </w:p>
        </w:tc>
      </w:tr>
      <w:tr w:rsidR="00222779" w14:paraId="46FBEA6C" w14:textId="77777777" w:rsidTr="00761513">
        <w:tc>
          <w:tcPr>
            <w:tcW w:w="2252" w:type="dxa"/>
          </w:tcPr>
          <w:p w14:paraId="437625A7" w14:textId="77777777" w:rsidR="00222779" w:rsidRPr="00EF7A58" w:rsidRDefault="00222779" w:rsidP="00761513">
            <w:pPr>
              <w:rPr>
                <w:rFonts w:ascii="Calibri" w:eastAsia="Calibri" w:hAnsi="Calibri" w:cs="Calibri"/>
                <w:b/>
                <w:bCs/>
                <w:color w:val="000000" w:themeColor="text1"/>
              </w:rPr>
            </w:pPr>
          </w:p>
        </w:tc>
        <w:tc>
          <w:tcPr>
            <w:tcW w:w="2252" w:type="dxa"/>
          </w:tcPr>
          <w:p w14:paraId="268F4E49" w14:textId="77777777" w:rsidR="00222779" w:rsidRPr="00EF7A58" w:rsidRDefault="00222779" w:rsidP="00761513">
            <w:pPr>
              <w:rPr>
                <w:rFonts w:ascii="Calibri" w:eastAsia="Calibri" w:hAnsi="Calibri" w:cs="Calibri"/>
                <w:b/>
                <w:bCs/>
                <w:color w:val="000000" w:themeColor="text1"/>
              </w:rPr>
            </w:pPr>
          </w:p>
        </w:tc>
        <w:tc>
          <w:tcPr>
            <w:tcW w:w="2253" w:type="dxa"/>
          </w:tcPr>
          <w:p w14:paraId="62BB1F75" w14:textId="77777777" w:rsidR="00222779" w:rsidRPr="00EF7A58" w:rsidRDefault="00222779" w:rsidP="00761513">
            <w:pPr>
              <w:rPr>
                <w:rFonts w:ascii="Calibri" w:eastAsia="Calibri" w:hAnsi="Calibri" w:cs="Calibri"/>
                <w:b/>
                <w:bCs/>
                <w:color w:val="000000" w:themeColor="text1"/>
              </w:rPr>
            </w:pPr>
          </w:p>
        </w:tc>
        <w:tc>
          <w:tcPr>
            <w:tcW w:w="2253" w:type="dxa"/>
          </w:tcPr>
          <w:p w14:paraId="3FB2BCA5" w14:textId="77777777" w:rsidR="00222779" w:rsidRPr="00EF7A58" w:rsidRDefault="00222779" w:rsidP="00761513">
            <w:pPr>
              <w:rPr>
                <w:rFonts w:ascii="Calibri" w:eastAsia="Calibri" w:hAnsi="Calibri" w:cs="Calibri"/>
                <w:b/>
                <w:bCs/>
                <w:color w:val="000000" w:themeColor="text1"/>
              </w:rPr>
            </w:pPr>
          </w:p>
        </w:tc>
      </w:tr>
    </w:tbl>
    <w:p w14:paraId="09648634" w14:textId="2E3E5103" w:rsidR="00237C86" w:rsidRDefault="00237C86" w:rsidP="00237C86">
      <w:pPr>
        <w:rPr>
          <w:rFonts w:ascii="Calibri" w:eastAsia="Calibri" w:hAnsi="Calibri" w:cs="Calibri"/>
          <w:color w:val="000000" w:themeColor="text1"/>
          <w:sz w:val="21"/>
          <w:szCs w:val="21"/>
          <w:lang w:val="en-IE"/>
        </w:rPr>
      </w:pPr>
    </w:p>
    <w:tbl>
      <w:tblPr>
        <w:tblStyle w:val="TableGrid"/>
        <w:tblW w:w="0" w:type="auto"/>
        <w:tblLook w:val="04A0" w:firstRow="1" w:lastRow="0" w:firstColumn="1" w:lastColumn="0" w:noHBand="0" w:noVBand="1"/>
      </w:tblPr>
      <w:tblGrid>
        <w:gridCol w:w="9010"/>
      </w:tblGrid>
      <w:tr w:rsidR="00237C86" w:rsidRPr="0046305E" w14:paraId="199BF97F" w14:textId="77777777" w:rsidTr="00424622">
        <w:tc>
          <w:tcPr>
            <w:tcW w:w="9010" w:type="dxa"/>
            <w:shd w:val="clear" w:color="auto" w:fill="auto"/>
          </w:tcPr>
          <w:p w14:paraId="0E387705" w14:textId="279E38B1" w:rsidR="00237C86" w:rsidRPr="00CD0787" w:rsidRDefault="00237C86" w:rsidP="00424622"/>
          <w:p w14:paraId="273ABBEE" w14:textId="7DABCE60" w:rsidR="00237C86" w:rsidRPr="004F61E2" w:rsidRDefault="004F61E2" w:rsidP="00424622">
            <w:pPr>
              <w:rPr>
                <w:b/>
                <w:bCs/>
              </w:rPr>
            </w:pPr>
            <w:r w:rsidRPr="004F61E2">
              <w:rPr>
                <w:b/>
                <w:bCs/>
              </w:rPr>
              <w:t>Tabhair cúis leis an leibhéal lena n aontaíonn/n-easaontaíonn leis sin.</w:t>
            </w:r>
          </w:p>
          <w:p w14:paraId="13486D62" w14:textId="77777777" w:rsidR="00237C86" w:rsidRDefault="00237C86" w:rsidP="00424622"/>
          <w:p w14:paraId="5C990CDC" w14:textId="77777777" w:rsidR="00237C86" w:rsidRDefault="00237C86" w:rsidP="00424622"/>
          <w:p w14:paraId="768F3FF7" w14:textId="77777777" w:rsidR="00237C86" w:rsidRDefault="00237C86" w:rsidP="00424622"/>
          <w:p w14:paraId="7095E415" w14:textId="77777777" w:rsidR="00237C86" w:rsidRDefault="00237C86" w:rsidP="00424622"/>
          <w:p w14:paraId="415BF57C" w14:textId="77777777" w:rsidR="00237C86" w:rsidRDefault="00237C86" w:rsidP="00424622"/>
          <w:p w14:paraId="7FE5799F" w14:textId="77777777" w:rsidR="00237C86" w:rsidRDefault="00237C86" w:rsidP="00424622"/>
          <w:p w14:paraId="2177D854" w14:textId="77777777" w:rsidR="00237C86" w:rsidRDefault="00237C86" w:rsidP="00424622"/>
          <w:p w14:paraId="0DB2C2E5" w14:textId="05B2396E" w:rsidR="00237C86" w:rsidRDefault="00237C86" w:rsidP="00424622"/>
          <w:p w14:paraId="2151D6E0" w14:textId="77777777" w:rsidR="00E55681" w:rsidRDefault="00E55681" w:rsidP="00424622"/>
          <w:p w14:paraId="1DEB7D65" w14:textId="77777777" w:rsidR="00237C86" w:rsidRDefault="00237C86" w:rsidP="00424622"/>
          <w:p w14:paraId="6E3659FD" w14:textId="77777777" w:rsidR="00237C86" w:rsidRDefault="00237C86" w:rsidP="00424622"/>
          <w:p w14:paraId="362737FF" w14:textId="77777777" w:rsidR="00237C86" w:rsidRPr="0046305E" w:rsidRDefault="00237C86" w:rsidP="00424622">
            <w:pPr>
              <w:rPr>
                <w:lang w:val="en-IE"/>
              </w:rPr>
            </w:pPr>
          </w:p>
        </w:tc>
      </w:tr>
      <w:tr w:rsidR="00237C86" w:rsidRPr="00CD0787" w14:paraId="2AA9656C" w14:textId="77777777" w:rsidTr="00424622">
        <w:tc>
          <w:tcPr>
            <w:tcW w:w="9010" w:type="dxa"/>
            <w:shd w:val="clear" w:color="auto" w:fill="auto"/>
          </w:tcPr>
          <w:p w14:paraId="0FBF3809" w14:textId="77777777" w:rsidR="00237C86" w:rsidRPr="00CD0787" w:rsidRDefault="00237C86" w:rsidP="00424622">
            <w:pPr>
              <w:rPr>
                <w:b/>
                <w:bCs/>
              </w:rPr>
            </w:pPr>
          </w:p>
          <w:p w14:paraId="55339451" w14:textId="47A93EDE" w:rsidR="00237C86" w:rsidRDefault="004F61E2" w:rsidP="00424622">
            <w:pPr>
              <w:rPr>
                <w:b/>
                <w:bCs/>
              </w:rPr>
            </w:pPr>
            <w:r w:rsidRPr="004F61E2">
              <w:rPr>
                <w:b/>
                <w:bCs/>
              </w:rPr>
              <w:t>Céard eile atá tábhachtach chun na coinníollacha a chruthú do COSPS /OCG éifeachtach?</w:t>
            </w:r>
          </w:p>
          <w:p w14:paraId="36CDDABE" w14:textId="77777777" w:rsidR="00237C86" w:rsidRDefault="00237C86" w:rsidP="00424622">
            <w:pPr>
              <w:rPr>
                <w:b/>
                <w:bCs/>
              </w:rPr>
            </w:pPr>
          </w:p>
          <w:p w14:paraId="124D7368" w14:textId="77777777" w:rsidR="00237C86" w:rsidRDefault="00237C86" w:rsidP="00424622">
            <w:pPr>
              <w:rPr>
                <w:b/>
                <w:bCs/>
              </w:rPr>
            </w:pPr>
          </w:p>
          <w:p w14:paraId="40512217" w14:textId="77777777" w:rsidR="00237C86" w:rsidRDefault="00237C86" w:rsidP="00424622">
            <w:pPr>
              <w:rPr>
                <w:b/>
                <w:bCs/>
              </w:rPr>
            </w:pPr>
          </w:p>
          <w:p w14:paraId="0395A6DF" w14:textId="77777777" w:rsidR="00237C86" w:rsidRDefault="00237C86" w:rsidP="00424622">
            <w:pPr>
              <w:rPr>
                <w:b/>
                <w:bCs/>
              </w:rPr>
            </w:pPr>
          </w:p>
          <w:p w14:paraId="1F2F7CAD" w14:textId="77777777" w:rsidR="00237C86" w:rsidRDefault="00237C86" w:rsidP="00424622">
            <w:pPr>
              <w:rPr>
                <w:b/>
                <w:bCs/>
              </w:rPr>
            </w:pPr>
          </w:p>
          <w:p w14:paraId="7BCEAD25" w14:textId="77777777" w:rsidR="00237C86" w:rsidRDefault="00237C86" w:rsidP="00424622">
            <w:pPr>
              <w:rPr>
                <w:b/>
                <w:bCs/>
              </w:rPr>
            </w:pPr>
          </w:p>
          <w:p w14:paraId="42D55C67" w14:textId="77777777" w:rsidR="00237C86" w:rsidRDefault="00237C86" w:rsidP="00424622">
            <w:pPr>
              <w:rPr>
                <w:b/>
                <w:bCs/>
              </w:rPr>
            </w:pPr>
          </w:p>
          <w:p w14:paraId="0E46ADEB" w14:textId="77777777" w:rsidR="00237C86" w:rsidRDefault="00237C86" w:rsidP="00424622">
            <w:pPr>
              <w:rPr>
                <w:b/>
                <w:bCs/>
              </w:rPr>
            </w:pPr>
          </w:p>
          <w:p w14:paraId="488AC352" w14:textId="4A6ECE3C" w:rsidR="00237C86" w:rsidRDefault="00237C86" w:rsidP="00424622">
            <w:pPr>
              <w:rPr>
                <w:b/>
                <w:bCs/>
              </w:rPr>
            </w:pPr>
          </w:p>
          <w:p w14:paraId="17EAB428" w14:textId="220E2CA3" w:rsidR="00E55681" w:rsidRDefault="00E55681" w:rsidP="00424622">
            <w:pPr>
              <w:rPr>
                <w:b/>
                <w:bCs/>
              </w:rPr>
            </w:pPr>
          </w:p>
          <w:p w14:paraId="14D33558" w14:textId="77777777" w:rsidR="00E55681" w:rsidRDefault="00E55681" w:rsidP="00424622">
            <w:pPr>
              <w:rPr>
                <w:b/>
                <w:bCs/>
              </w:rPr>
            </w:pPr>
          </w:p>
          <w:p w14:paraId="0E740E6A" w14:textId="77777777" w:rsidR="00237C86" w:rsidRDefault="00237C86" w:rsidP="00424622">
            <w:pPr>
              <w:rPr>
                <w:b/>
                <w:bCs/>
              </w:rPr>
            </w:pPr>
          </w:p>
          <w:p w14:paraId="1559A205" w14:textId="77777777" w:rsidR="00237C86" w:rsidRPr="00CD0787" w:rsidRDefault="00237C86" w:rsidP="00424622">
            <w:pPr>
              <w:rPr>
                <w:b/>
                <w:bCs/>
              </w:rPr>
            </w:pPr>
          </w:p>
        </w:tc>
      </w:tr>
    </w:tbl>
    <w:p w14:paraId="2B22A1AC" w14:textId="4BC01500" w:rsidR="00237C86" w:rsidRDefault="00237C86" w:rsidP="00237C86">
      <w:pPr>
        <w:rPr>
          <w:lang w:val="ga-IE"/>
        </w:rPr>
      </w:pPr>
    </w:p>
    <w:p w14:paraId="22F271B3" w14:textId="4A00AB8E" w:rsidR="00E55681" w:rsidRDefault="00E55681" w:rsidP="00237C86">
      <w:pPr>
        <w:rPr>
          <w:lang w:val="ga-IE"/>
        </w:rPr>
      </w:pPr>
    </w:p>
    <w:p w14:paraId="16C24406" w14:textId="35B86110" w:rsidR="00E55681" w:rsidRDefault="00E55681" w:rsidP="00237C86">
      <w:pPr>
        <w:rPr>
          <w:lang w:val="ga-IE"/>
        </w:rPr>
      </w:pPr>
    </w:p>
    <w:p w14:paraId="4236A797" w14:textId="45C8314F" w:rsidR="00237C86" w:rsidRPr="00237C86" w:rsidRDefault="00237C86" w:rsidP="00237C86">
      <w:pPr>
        <w:rPr>
          <w:lang w:val="ga-IE"/>
        </w:rPr>
      </w:pPr>
    </w:p>
    <w:p w14:paraId="79739781" w14:textId="4FAE8E6D" w:rsidR="00237C86" w:rsidRPr="003205D8" w:rsidRDefault="003205D8" w:rsidP="00237C86">
      <w:pPr>
        <w:rPr>
          <w:b/>
          <w:bCs/>
          <w:lang w:val="ga-IE"/>
        </w:rPr>
      </w:pPr>
      <w:r w:rsidRPr="003205D8">
        <w:rPr>
          <w:b/>
          <w:bCs/>
          <w:lang w:val="ga-IE"/>
        </w:rPr>
        <w:lastRenderedPageBreak/>
        <w:t>Ráiteas Príobháideachais</w:t>
      </w:r>
    </w:p>
    <w:p w14:paraId="1A3C1572" w14:textId="22928A86" w:rsidR="00237C86" w:rsidRDefault="00B51527" w:rsidP="00B51527">
      <w:pPr>
        <w:rPr>
          <w:lang w:val="ga-IE"/>
        </w:rPr>
      </w:pPr>
      <w:r w:rsidRPr="00B51527">
        <w:rPr>
          <w:lang w:val="ga-IE"/>
        </w:rPr>
        <w:t xml:space="preserve">Is mór ag an gComhairle Náisiúnta Curaclaim agus Measúnachta (CNCM) do cheart chun príobháideachais agus ní bhaileoimid aon fhaisnéis phearsanta fút ar an gceistneoir seo. Caithfear le haon fhaisnéis pearsanta a thugann tú go deonach don CNCM leis na caighdeáin slándála agus rúndachta is airde, agus muid ag cloí go docht leis na hAchtanna um Chosaint Sonraí. Má bhíonn tuilleadh faisnéise ag teastáil uait a bhaineann le cosaint sonraí agus www.ncca.ie is féidir leat dul i dteagmháil le hOifigeach an CNCM um Chosaint Sonraí ag </w:t>
      </w:r>
      <w:hyperlink r:id="rId12" w:history="1">
        <w:r w:rsidR="00E55681" w:rsidRPr="000E6FF9">
          <w:rPr>
            <w:rStyle w:val="Hyperlink"/>
            <w:lang w:val="ga-IE"/>
          </w:rPr>
          <w:t>dpo@ncca.ie</w:t>
        </w:r>
      </w:hyperlink>
    </w:p>
    <w:p w14:paraId="0107B9E0" w14:textId="20726C71" w:rsidR="00237C86" w:rsidRPr="00237C86" w:rsidRDefault="00237C86" w:rsidP="00237C86">
      <w:pPr>
        <w:rPr>
          <w:lang w:val="ga-IE"/>
        </w:rPr>
      </w:pPr>
    </w:p>
    <w:p w14:paraId="60B6E904" w14:textId="62FD18C5" w:rsidR="00237C86" w:rsidRPr="00E55681" w:rsidRDefault="00E55681" w:rsidP="00237C86">
      <w:pPr>
        <w:rPr>
          <w:i/>
          <w:iCs/>
          <w:lang w:val="ga-IE"/>
        </w:rPr>
      </w:pPr>
      <w:r w:rsidRPr="00E55681">
        <w:rPr>
          <w:i/>
          <w:iCs/>
          <w:lang w:val="ga-IE"/>
        </w:rPr>
        <w:t>Go raibh maith agat as an am a thógáil chun an ceistneoir seo a chomhlánú.</w:t>
      </w:r>
    </w:p>
    <w:p w14:paraId="41A714AD" w14:textId="41D0F6E8" w:rsidR="00237C86" w:rsidRPr="00237C86" w:rsidRDefault="00237C86" w:rsidP="00237C86">
      <w:pPr>
        <w:rPr>
          <w:lang w:val="ga-IE"/>
        </w:rPr>
      </w:pPr>
    </w:p>
    <w:p w14:paraId="089CF5C1" w14:textId="088CADEE" w:rsidR="00237C86" w:rsidRPr="00237C86" w:rsidRDefault="00237C86" w:rsidP="00237C86">
      <w:pPr>
        <w:rPr>
          <w:lang w:val="ga-IE"/>
        </w:rPr>
      </w:pPr>
    </w:p>
    <w:p w14:paraId="17F93B83" w14:textId="4F6CBEF8" w:rsidR="00237C86" w:rsidRPr="00237C86" w:rsidRDefault="00237C86" w:rsidP="00237C86">
      <w:pPr>
        <w:rPr>
          <w:lang w:val="ga-IE"/>
        </w:rPr>
      </w:pPr>
    </w:p>
    <w:p w14:paraId="19E71AA5" w14:textId="51F5EAA8" w:rsidR="00237C86" w:rsidRPr="00237C86" w:rsidRDefault="00237C86" w:rsidP="00237C86">
      <w:pPr>
        <w:rPr>
          <w:lang w:val="ga-IE"/>
        </w:rPr>
      </w:pPr>
    </w:p>
    <w:p w14:paraId="62380A24" w14:textId="1AEA027D" w:rsidR="00237C86" w:rsidRPr="00237C86" w:rsidRDefault="00237C86" w:rsidP="00237C86">
      <w:pPr>
        <w:rPr>
          <w:lang w:val="ga-IE"/>
        </w:rPr>
      </w:pPr>
    </w:p>
    <w:p w14:paraId="1E6E2F1B" w14:textId="0411F368" w:rsidR="00237C86" w:rsidRPr="00237C86" w:rsidRDefault="00237C86" w:rsidP="00237C86">
      <w:pPr>
        <w:rPr>
          <w:lang w:val="ga-IE"/>
        </w:rPr>
      </w:pPr>
    </w:p>
    <w:p w14:paraId="3FB39308" w14:textId="671C60DC" w:rsidR="00237C86" w:rsidRPr="00237C86" w:rsidRDefault="00237C86" w:rsidP="00237C86">
      <w:pPr>
        <w:rPr>
          <w:lang w:val="ga-IE"/>
        </w:rPr>
      </w:pPr>
    </w:p>
    <w:p w14:paraId="46BCD8A6" w14:textId="55D03464" w:rsidR="00237C86" w:rsidRPr="00237C86" w:rsidRDefault="00237C86" w:rsidP="00237C86">
      <w:pPr>
        <w:rPr>
          <w:lang w:val="ga-IE"/>
        </w:rPr>
      </w:pPr>
    </w:p>
    <w:p w14:paraId="2F76C33C" w14:textId="7A2CA5A4" w:rsidR="00237C86" w:rsidRPr="00237C86" w:rsidRDefault="00237C86" w:rsidP="00237C86">
      <w:pPr>
        <w:rPr>
          <w:lang w:val="ga-IE"/>
        </w:rPr>
      </w:pPr>
    </w:p>
    <w:p w14:paraId="1DDB8469" w14:textId="6C7DC791" w:rsidR="00237C86" w:rsidRDefault="00237C86" w:rsidP="00237C86">
      <w:pPr>
        <w:rPr>
          <w:rFonts w:ascii="Calibri" w:hAnsi="Calibri"/>
          <w:lang w:val="ga-IE"/>
        </w:rPr>
      </w:pPr>
    </w:p>
    <w:p w14:paraId="305DFFCF" w14:textId="77777777" w:rsidR="00237C86" w:rsidRPr="00237C86" w:rsidRDefault="00237C86" w:rsidP="00237C86">
      <w:pPr>
        <w:rPr>
          <w:rFonts w:ascii="Calibri" w:hAnsi="Calibri"/>
          <w:lang w:val="ga-IE"/>
        </w:rPr>
      </w:pPr>
    </w:p>
    <w:p w14:paraId="593F4D1A" w14:textId="77777777" w:rsidR="00237C86" w:rsidRPr="00237C86" w:rsidRDefault="00237C86" w:rsidP="00237C86">
      <w:pPr>
        <w:rPr>
          <w:rFonts w:ascii="Calibri" w:hAnsi="Calibri"/>
          <w:lang w:val="ga-IE"/>
        </w:rPr>
      </w:pPr>
    </w:p>
    <w:p w14:paraId="777244E4" w14:textId="77777777" w:rsidR="00237C86" w:rsidRPr="00237C86" w:rsidRDefault="00237C86" w:rsidP="00237C86">
      <w:pPr>
        <w:rPr>
          <w:rFonts w:ascii="Calibri" w:hAnsi="Calibri"/>
          <w:lang w:val="ga-IE"/>
        </w:rPr>
      </w:pPr>
    </w:p>
    <w:p w14:paraId="756C9989" w14:textId="77777777" w:rsidR="00237C86" w:rsidRPr="00237C86" w:rsidRDefault="00237C86" w:rsidP="00237C86">
      <w:pPr>
        <w:rPr>
          <w:rFonts w:ascii="Calibri" w:hAnsi="Calibri"/>
          <w:lang w:val="ga-IE"/>
        </w:rPr>
      </w:pPr>
    </w:p>
    <w:p w14:paraId="2A152432" w14:textId="77777777" w:rsidR="00237C86" w:rsidRPr="00237C86" w:rsidRDefault="00237C86" w:rsidP="00237C86">
      <w:pPr>
        <w:rPr>
          <w:lang w:val="ga-IE"/>
        </w:rPr>
      </w:pPr>
    </w:p>
    <w:sectPr w:rsidR="00237C86" w:rsidRPr="00237C8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6010" w14:textId="77777777" w:rsidR="001501AD" w:rsidRDefault="001501AD">
      <w:pPr>
        <w:spacing w:after="0" w:line="240" w:lineRule="auto"/>
      </w:pPr>
      <w:r>
        <w:separator/>
      </w:r>
    </w:p>
  </w:endnote>
  <w:endnote w:type="continuationSeparator" w:id="0">
    <w:p w14:paraId="7E27F84D" w14:textId="77777777" w:rsidR="001501AD" w:rsidRDefault="0015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98766021"/>
      <w:docPartObj>
        <w:docPartGallery w:val="Page Numbers (Bottom of Page)"/>
        <w:docPartUnique/>
      </w:docPartObj>
    </w:sdtPr>
    <w:sdtEndPr>
      <w:rPr>
        <w:noProof/>
      </w:rPr>
    </w:sdtEndPr>
    <w:sdtContent>
      <w:p w14:paraId="24FE7772" w14:textId="5E811345" w:rsidR="00D5232F" w:rsidRDefault="00D5232F" w:rsidP="00237C86">
        <w:pPr>
          <w:pStyle w:val="NCCAList"/>
          <w:numPr>
            <w:ilvl w:val="0"/>
            <w:numId w:val="0"/>
          </w:numPr>
        </w:pPr>
      </w:p>
      <w:p w14:paraId="3D3D22A9" w14:textId="77777777" w:rsidR="004A3B34" w:rsidRDefault="00886533">
        <w:pPr>
          <w:pStyle w:val="Footer"/>
          <w:jc w:val="right"/>
        </w:pPr>
        <w:r>
          <w:rPr>
            <w:lang w:val="ga"/>
          </w:rPr>
          <w:fldChar w:fldCharType="begin"/>
        </w:r>
        <w:r>
          <w:rPr>
            <w:lang w:val="ga"/>
          </w:rPr>
          <w:instrText xml:space="preserve"> PAGE   \* MERGEFORMAT </w:instrText>
        </w:r>
        <w:r>
          <w:rPr>
            <w:lang w:val="ga"/>
          </w:rPr>
          <w:fldChar w:fldCharType="separate"/>
        </w:r>
        <w:r w:rsidR="00A462BB">
          <w:rPr>
            <w:noProof/>
            <w:lang w:val="ga"/>
          </w:rPr>
          <w:t>2</w:t>
        </w:r>
        <w:r>
          <w:rPr>
            <w:noProof/>
            <w:lang w:val="g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A074" w14:textId="77777777" w:rsidR="001501AD" w:rsidRDefault="001501AD">
      <w:pPr>
        <w:spacing w:after="0" w:line="240" w:lineRule="auto"/>
      </w:pPr>
      <w:r>
        <w:separator/>
      </w:r>
    </w:p>
  </w:footnote>
  <w:footnote w:type="continuationSeparator" w:id="0">
    <w:p w14:paraId="343CC471" w14:textId="77777777" w:rsidR="001501AD" w:rsidRDefault="00150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AE"/>
    <w:rsid w:val="00004A9E"/>
    <w:rsid w:val="0002255B"/>
    <w:rsid w:val="00053C26"/>
    <w:rsid w:val="0006780C"/>
    <w:rsid w:val="00084D5F"/>
    <w:rsid w:val="000C63A1"/>
    <w:rsid w:val="0010233F"/>
    <w:rsid w:val="001501AD"/>
    <w:rsid w:val="001C62AE"/>
    <w:rsid w:val="00222779"/>
    <w:rsid w:val="00236F08"/>
    <w:rsid w:val="00237C86"/>
    <w:rsid w:val="00245131"/>
    <w:rsid w:val="002B1794"/>
    <w:rsid w:val="002B56AC"/>
    <w:rsid w:val="00303932"/>
    <w:rsid w:val="003205D8"/>
    <w:rsid w:val="00327BBB"/>
    <w:rsid w:val="00330EF4"/>
    <w:rsid w:val="00332892"/>
    <w:rsid w:val="0039741A"/>
    <w:rsid w:val="003B785B"/>
    <w:rsid w:val="003C76BE"/>
    <w:rsid w:val="003E66B4"/>
    <w:rsid w:val="003F030B"/>
    <w:rsid w:val="00401800"/>
    <w:rsid w:val="00416039"/>
    <w:rsid w:val="0042355F"/>
    <w:rsid w:val="004768CC"/>
    <w:rsid w:val="00494481"/>
    <w:rsid w:val="004B563A"/>
    <w:rsid w:val="004C7B26"/>
    <w:rsid w:val="004F61E2"/>
    <w:rsid w:val="005024F0"/>
    <w:rsid w:val="00521B89"/>
    <w:rsid w:val="0052746E"/>
    <w:rsid w:val="0056176E"/>
    <w:rsid w:val="00654C20"/>
    <w:rsid w:val="006C33CB"/>
    <w:rsid w:val="006E1E49"/>
    <w:rsid w:val="006F15E8"/>
    <w:rsid w:val="00714DC2"/>
    <w:rsid w:val="007433B1"/>
    <w:rsid w:val="00751B8C"/>
    <w:rsid w:val="00776A8A"/>
    <w:rsid w:val="007B212B"/>
    <w:rsid w:val="007C61C1"/>
    <w:rsid w:val="00834535"/>
    <w:rsid w:val="008578B5"/>
    <w:rsid w:val="00885DB9"/>
    <w:rsid w:val="00886533"/>
    <w:rsid w:val="008B5388"/>
    <w:rsid w:val="008C6612"/>
    <w:rsid w:val="008D4C6A"/>
    <w:rsid w:val="008E2157"/>
    <w:rsid w:val="008E610E"/>
    <w:rsid w:val="00951383"/>
    <w:rsid w:val="009547AE"/>
    <w:rsid w:val="00995E13"/>
    <w:rsid w:val="009963F6"/>
    <w:rsid w:val="009A6553"/>
    <w:rsid w:val="009D3048"/>
    <w:rsid w:val="009E20A7"/>
    <w:rsid w:val="00A462BB"/>
    <w:rsid w:val="00A60E88"/>
    <w:rsid w:val="00A61DDB"/>
    <w:rsid w:val="00A667DF"/>
    <w:rsid w:val="00B2619B"/>
    <w:rsid w:val="00B43751"/>
    <w:rsid w:val="00B51527"/>
    <w:rsid w:val="00B63CD5"/>
    <w:rsid w:val="00B81B94"/>
    <w:rsid w:val="00B94B63"/>
    <w:rsid w:val="00BA6AD5"/>
    <w:rsid w:val="00C87201"/>
    <w:rsid w:val="00C92DCF"/>
    <w:rsid w:val="00CA4DA9"/>
    <w:rsid w:val="00CA5830"/>
    <w:rsid w:val="00CB313D"/>
    <w:rsid w:val="00CC4A4D"/>
    <w:rsid w:val="00D021C8"/>
    <w:rsid w:val="00D11720"/>
    <w:rsid w:val="00D4232C"/>
    <w:rsid w:val="00D5232F"/>
    <w:rsid w:val="00D80E7F"/>
    <w:rsid w:val="00E00EEF"/>
    <w:rsid w:val="00E147ED"/>
    <w:rsid w:val="00E414EB"/>
    <w:rsid w:val="00E55681"/>
    <w:rsid w:val="00E61474"/>
    <w:rsid w:val="00E61FAE"/>
    <w:rsid w:val="00EA4FF9"/>
    <w:rsid w:val="00EF71BB"/>
    <w:rsid w:val="00F156F0"/>
    <w:rsid w:val="00F41EE9"/>
    <w:rsid w:val="00FB36E0"/>
    <w:rsid w:val="00FB4439"/>
    <w:rsid w:val="00FB6EA7"/>
    <w:rsid w:val="0DDA37F0"/>
    <w:rsid w:val="3040766F"/>
    <w:rsid w:val="4900FAEB"/>
    <w:rsid w:val="633ECB0E"/>
    <w:rsid w:val="7D01468D"/>
  </w:rsids>
  <m:mathPr>
    <m:mathFont m:val="Cambria Math"/>
    <m:brkBin m:val="before"/>
    <m:brkBinSub m:val="--"/>
    <m:smallFrac m:val="0"/>
    <m:dispDef/>
    <m:lMargin m:val="0"/>
    <m:rMargin m:val="0"/>
    <m:defJc m:val="centerGroup"/>
    <m:wrapIndent m:val="1440"/>
    <m:intLim m:val="subSup"/>
    <m:naryLim m:val="undOvr"/>
  </m:mathPr>
  <w:themeFontLang w:val="en-IE"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14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CC"/>
    <w:rPr>
      <w:lang w:val="en-GB"/>
    </w:rPr>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lang w:val="en-IE"/>
    </w:rPr>
  </w:style>
  <w:style w:type="paragraph" w:styleId="Heading3">
    <w:name w:val="heading 3"/>
    <w:basedOn w:val="Normal"/>
    <w:next w:val="Normal"/>
    <w:link w:val="Heading3Char"/>
    <w:uiPriority w:val="9"/>
    <w:unhideWhenUsed/>
    <w:qFormat/>
    <w:rsid w:val="00237C8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F156F0"/>
    <w:pPr>
      <w:pageBreakBefore/>
      <w:numPr>
        <w:ilvl w:val="1"/>
      </w:numPr>
      <w:spacing w:line="480" w:lineRule="auto"/>
    </w:pPr>
    <w:rPr>
      <w:rFonts w:ascii="Calibri" w:eastAsiaTheme="minorEastAsia" w:hAnsi="Calibri"/>
      <w:sz w:val="48"/>
      <w:lang w:val="en-IE"/>
    </w:rPr>
  </w:style>
  <w:style w:type="paragraph" w:customStyle="1" w:styleId="NCCAH2">
    <w:name w:val="NCCA_H2"/>
    <w:basedOn w:val="Normal"/>
    <w:next w:val="NCCABody"/>
    <w:link w:val="NCCAH2Char"/>
    <w:qFormat/>
    <w:rsid w:val="00F156F0"/>
    <w:pPr>
      <w:spacing w:line="480" w:lineRule="auto"/>
    </w:pPr>
    <w:rPr>
      <w:rFonts w:ascii="Calibri" w:hAnsi="Calibri"/>
      <w:sz w:val="40"/>
      <w:lang w:val="en-IE"/>
    </w:rPr>
  </w:style>
  <w:style w:type="character" w:customStyle="1" w:styleId="NCCAH1Char">
    <w:name w:val="NCCA_H1 Char"/>
    <w:basedOn w:val="DefaultParagraphFont"/>
    <w:link w:val="NCCAH1"/>
    <w:rsid w:val="00F156F0"/>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F156F0"/>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lang w:val="en-IE"/>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table" w:styleId="TableGrid">
    <w:name w:val="Table Grid"/>
    <w:basedOn w:val="TableNormal"/>
    <w:uiPriority w:val="39"/>
    <w:rsid w:val="004768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aneamhritithe1">
    <w:name w:val="Lua neamhréitithe1"/>
    <w:basedOn w:val="DefaultParagraphFont"/>
    <w:uiPriority w:val="99"/>
    <w:semiHidden/>
    <w:unhideWhenUsed/>
    <w:rsid w:val="004768CC"/>
    <w:rPr>
      <w:color w:val="605E5C"/>
      <w:shd w:val="clear" w:color="auto" w:fill="E1DFDD"/>
    </w:rPr>
  </w:style>
  <w:style w:type="paragraph" w:customStyle="1" w:styleId="paragraph">
    <w:name w:val="paragraph"/>
    <w:basedOn w:val="Normal"/>
    <w:rsid w:val="00237C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7C86"/>
  </w:style>
  <w:style w:type="character" w:customStyle="1" w:styleId="eop">
    <w:name w:val="eop"/>
    <w:basedOn w:val="DefaultParagraphFont"/>
    <w:rsid w:val="00237C86"/>
  </w:style>
  <w:style w:type="character" w:customStyle="1" w:styleId="Heading3Char">
    <w:name w:val="Heading 3 Char"/>
    <w:basedOn w:val="DefaultParagraphFont"/>
    <w:link w:val="Heading3"/>
    <w:uiPriority w:val="9"/>
    <w:rsid w:val="00237C86"/>
    <w:rPr>
      <w:rFonts w:asciiTheme="majorHAnsi" w:eastAsiaTheme="majorEastAsia" w:hAnsiTheme="majorHAnsi" w:cstheme="majorBidi"/>
      <w:color w:val="1F4D78" w:themeColor="accent1" w:themeShade="7F"/>
      <w:sz w:val="24"/>
      <w:szCs w:val="24"/>
      <w:lang w:val="en-US"/>
    </w:rPr>
  </w:style>
  <w:style w:type="character" w:styleId="UnresolvedMention">
    <w:name w:val="Unresolved Mention"/>
    <w:basedOn w:val="DefaultParagraphFont"/>
    <w:uiPriority w:val="99"/>
    <w:semiHidden/>
    <w:unhideWhenUsed/>
    <w:rsid w:val="003E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ncca.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ca.ie/ga/an-teolas-is-d&#233;ana&#237;-agus-imeachta&#237;/comhairli&#250;ch&#225;in/athbhreithni&#250;-ar-churaclam-an-oideachais-caidrimh-agus-gn&#233;asachta-oc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1558F192EA54E9DEF3687577F97F4" ma:contentTypeVersion="8" ma:contentTypeDescription="Create a new document." ma:contentTypeScope="" ma:versionID="f3d2b0f098744c7a0afcec27bfc58abf">
  <xsd:schema xmlns:xsd="http://www.w3.org/2001/XMLSchema" xmlns:xs="http://www.w3.org/2001/XMLSchema" xmlns:p="http://schemas.microsoft.com/office/2006/metadata/properties" xmlns:ns2="ae9b1779-d0e1-4e7d-aa3e-2f11b2d7d08c" xmlns:ns3="86a1f704-8352-462e-bffc-3640fac056d7" targetNamespace="http://schemas.microsoft.com/office/2006/metadata/properties" ma:root="true" ma:fieldsID="fb2985fd5d58d8e38dd99cb8d757eed5" ns2:_="" ns3:_="">
    <xsd:import namespace="ae9b1779-d0e1-4e7d-aa3e-2f11b2d7d08c"/>
    <xsd:import namespace="86a1f704-8352-462e-bffc-3640fac056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b1779-d0e1-4e7d-aa3e-2f11b2d7d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A38F-B639-40B0-A603-6B3B953C1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b1779-d0e1-4e7d-aa3e-2f11b2d7d08c"/>
    <ds:schemaRef ds:uri="86a1f704-8352-462e-bffc-3640fac0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4.xml><?xml version="1.0" encoding="utf-8"?>
<ds:datastoreItem xmlns:ds="http://schemas.openxmlformats.org/officeDocument/2006/customXml" ds:itemID="{73F163F9-B467-4DCD-9919-4AD54790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2019-07-02T14:43:00Z</dcterms:created>
  <dcterms:modified xsi:type="dcterms:W3CDTF">2019-07-08T17:45:00Z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0x0101002ED1558F192EA54E9DEF3687577F97F4</vt:lpwstr>
  </property>
</Properties>
</file>